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02766" w14:textId="2950DE02" w:rsidR="00DD35F2" w:rsidRDefault="00DD35F2" w:rsidP="00DD35F2">
      <w:pPr>
        <w:jc w:val="both"/>
        <w:rPr>
          <w:rFonts w:asciiTheme="minorHAnsi" w:hAnsiTheme="minorHAnsi"/>
          <w:b/>
          <w:smallCaps/>
          <w:sz w:val="32"/>
          <w:szCs w:val="32"/>
        </w:rPr>
      </w:pPr>
      <w:bookmarkStart w:id="0" w:name="_GoBack"/>
      <w:bookmarkEnd w:id="0"/>
      <w:r>
        <w:rPr>
          <w:rFonts w:asciiTheme="minorHAnsi" w:hAnsiTheme="minorHAnsi"/>
          <w:b/>
          <w:smallCaps/>
          <w:noProof/>
          <w:sz w:val="32"/>
          <w:szCs w:val="32"/>
        </w:rPr>
        <w:drawing>
          <wp:anchor distT="0" distB="0" distL="114300" distR="114300" simplePos="0" relativeHeight="251660288" behindDoc="0" locked="0" layoutInCell="1" allowOverlap="1" wp14:anchorId="4FBD15FC" wp14:editId="1AC86063">
            <wp:simplePos x="0" y="0"/>
            <wp:positionH relativeFrom="column">
              <wp:posOffset>1809750</wp:posOffset>
            </wp:positionH>
            <wp:positionV relativeFrom="paragraph">
              <wp:posOffset>-361951</wp:posOffset>
            </wp:positionV>
            <wp:extent cx="2222116" cy="136207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PA logo_RGB with tagline resized for email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0979" cy="1367508"/>
                    </a:xfrm>
                    <a:prstGeom prst="rect">
                      <a:avLst/>
                    </a:prstGeom>
                  </pic:spPr>
                </pic:pic>
              </a:graphicData>
            </a:graphic>
            <wp14:sizeRelH relativeFrom="margin">
              <wp14:pctWidth>0</wp14:pctWidth>
            </wp14:sizeRelH>
            <wp14:sizeRelV relativeFrom="margin">
              <wp14:pctHeight>0</wp14:pctHeight>
            </wp14:sizeRelV>
          </wp:anchor>
        </w:drawing>
      </w:r>
    </w:p>
    <w:p w14:paraId="6C73FA07" w14:textId="6AFE9BC4" w:rsidR="00DD35F2" w:rsidRDefault="00DD35F2" w:rsidP="00DD35F2">
      <w:pPr>
        <w:jc w:val="both"/>
        <w:rPr>
          <w:rFonts w:asciiTheme="minorHAnsi" w:hAnsiTheme="minorHAnsi"/>
          <w:b/>
          <w:smallCaps/>
          <w:sz w:val="32"/>
          <w:szCs w:val="32"/>
        </w:rPr>
      </w:pPr>
    </w:p>
    <w:p w14:paraId="51459BCA" w14:textId="3395E3EA" w:rsidR="00DD35F2" w:rsidRDefault="00DD35F2" w:rsidP="00DD35F2">
      <w:pPr>
        <w:jc w:val="both"/>
        <w:rPr>
          <w:rFonts w:asciiTheme="minorHAnsi" w:hAnsiTheme="minorHAnsi"/>
          <w:b/>
          <w:smallCaps/>
          <w:sz w:val="32"/>
          <w:szCs w:val="32"/>
        </w:rPr>
      </w:pPr>
    </w:p>
    <w:p w14:paraId="38A5EFEC" w14:textId="6A8D99D5" w:rsidR="00DD35F2" w:rsidRDefault="00DD35F2" w:rsidP="00DD35F2">
      <w:pPr>
        <w:jc w:val="both"/>
        <w:rPr>
          <w:rFonts w:asciiTheme="minorHAnsi" w:hAnsiTheme="minorHAnsi"/>
          <w:b/>
          <w:smallCaps/>
          <w:sz w:val="32"/>
          <w:szCs w:val="32"/>
        </w:rPr>
      </w:pPr>
    </w:p>
    <w:p w14:paraId="7041BE6F" w14:textId="77777777" w:rsidR="00DD35F2" w:rsidRDefault="00DD35F2" w:rsidP="00DD35F2">
      <w:pPr>
        <w:jc w:val="both"/>
        <w:rPr>
          <w:rFonts w:asciiTheme="minorHAnsi" w:hAnsiTheme="minorHAnsi"/>
          <w:b/>
          <w:smallCaps/>
          <w:sz w:val="32"/>
          <w:szCs w:val="32"/>
        </w:rPr>
      </w:pPr>
    </w:p>
    <w:p w14:paraId="442609D1" w14:textId="6E8A1B8D" w:rsidR="00DD35F2" w:rsidRPr="00EB7A08" w:rsidRDefault="00DD35F2" w:rsidP="00DD35F2">
      <w:pPr>
        <w:jc w:val="both"/>
        <w:rPr>
          <w:rFonts w:asciiTheme="minorHAnsi" w:hAnsiTheme="minorHAnsi"/>
          <w:b/>
          <w:smallCaps/>
          <w:sz w:val="32"/>
          <w:szCs w:val="32"/>
        </w:rPr>
      </w:pPr>
      <w:r w:rsidRPr="00EB7A08">
        <w:rPr>
          <w:rFonts w:asciiTheme="minorHAnsi" w:hAnsiTheme="minorHAnsi"/>
          <w:b/>
          <w:smallCaps/>
          <w:sz w:val="32"/>
          <w:szCs w:val="32"/>
        </w:rPr>
        <w:t>Update of Code of Practice for Cervical Spine Management (2016)</w:t>
      </w:r>
    </w:p>
    <w:p w14:paraId="02537E68" w14:textId="77777777" w:rsidR="00DD35F2" w:rsidRPr="004D2792" w:rsidRDefault="00DD35F2" w:rsidP="00DD35F2">
      <w:pPr>
        <w:jc w:val="both"/>
        <w:rPr>
          <w:rFonts w:asciiTheme="minorHAnsi" w:hAnsiTheme="minorHAnsi"/>
          <w:b/>
          <w:sz w:val="22"/>
          <w:szCs w:val="22"/>
        </w:rPr>
      </w:pPr>
    </w:p>
    <w:p w14:paraId="58250956" w14:textId="77777777" w:rsidR="00DD35F2" w:rsidRPr="004D2792" w:rsidRDefault="00DD35F2" w:rsidP="00DD35F2">
      <w:pPr>
        <w:jc w:val="both"/>
        <w:rPr>
          <w:rFonts w:asciiTheme="minorHAnsi" w:hAnsiTheme="minorHAnsi"/>
          <w:b/>
          <w:sz w:val="22"/>
          <w:szCs w:val="22"/>
        </w:rPr>
      </w:pPr>
      <w:r w:rsidRPr="004D2792">
        <w:rPr>
          <w:rFonts w:asciiTheme="minorHAnsi" w:hAnsiTheme="minorHAnsi"/>
          <w:b/>
          <w:sz w:val="22"/>
          <w:szCs w:val="22"/>
        </w:rPr>
        <w:t>Background</w:t>
      </w:r>
    </w:p>
    <w:p w14:paraId="1FE412DF" w14:textId="77777777" w:rsidR="00DD35F2" w:rsidRPr="004D2792" w:rsidRDefault="00DD35F2" w:rsidP="00313DE9">
      <w:pPr>
        <w:jc w:val="both"/>
        <w:rPr>
          <w:rFonts w:asciiTheme="minorHAnsi" w:hAnsiTheme="minorHAnsi"/>
          <w:sz w:val="22"/>
          <w:szCs w:val="22"/>
        </w:rPr>
      </w:pPr>
      <w:r w:rsidRPr="004D2792">
        <w:rPr>
          <w:rFonts w:asciiTheme="minorHAnsi" w:hAnsiTheme="minorHAnsi"/>
          <w:sz w:val="22"/>
          <w:szCs w:val="22"/>
        </w:rPr>
        <w:t xml:space="preserve">Early in 2000, </w:t>
      </w:r>
      <w:r>
        <w:rPr>
          <w:rFonts w:asciiTheme="minorHAnsi" w:hAnsiTheme="minorHAnsi"/>
          <w:sz w:val="22"/>
          <w:szCs w:val="22"/>
        </w:rPr>
        <w:t>t</w:t>
      </w:r>
      <w:r w:rsidRPr="004D2792">
        <w:rPr>
          <w:rFonts w:asciiTheme="minorHAnsi" w:hAnsiTheme="minorHAnsi"/>
          <w:sz w:val="22"/>
          <w:szCs w:val="22"/>
        </w:rPr>
        <w:t>he New Zealand Manipulative Physiotherapists Association (NZMPA) developed a ‘New Zealand Cervical Spine Pre-screening Guideline’. The NZMPA, with the support and co-operation of the A</w:t>
      </w:r>
      <w:r>
        <w:rPr>
          <w:rFonts w:asciiTheme="minorHAnsi" w:hAnsiTheme="minorHAnsi"/>
          <w:sz w:val="22"/>
          <w:szCs w:val="22"/>
        </w:rPr>
        <w:t>ustralian Physiotherapy Association (A</w:t>
      </w:r>
      <w:r w:rsidRPr="004D2792">
        <w:rPr>
          <w:rFonts w:asciiTheme="minorHAnsi" w:hAnsiTheme="minorHAnsi"/>
          <w:sz w:val="22"/>
          <w:szCs w:val="22"/>
        </w:rPr>
        <w:t>PA</w:t>
      </w:r>
      <w:r>
        <w:rPr>
          <w:rFonts w:asciiTheme="minorHAnsi" w:hAnsiTheme="minorHAnsi"/>
          <w:sz w:val="22"/>
          <w:szCs w:val="22"/>
        </w:rPr>
        <w:t>)</w:t>
      </w:r>
      <w:r w:rsidRPr="004D2792">
        <w:rPr>
          <w:rFonts w:asciiTheme="minorHAnsi" w:hAnsiTheme="minorHAnsi"/>
          <w:sz w:val="22"/>
          <w:szCs w:val="22"/>
        </w:rPr>
        <w:t xml:space="preserve">, then adopted the ‘2000 APA VBI </w:t>
      </w:r>
      <w:r>
        <w:rPr>
          <w:rFonts w:asciiTheme="minorHAnsi" w:hAnsiTheme="minorHAnsi"/>
          <w:sz w:val="22"/>
          <w:szCs w:val="22"/>
        </w:rPr>
        <w:t>G</w:t>
      </w:r>
      <w:r w:rsidRPr="004D2792">
        <w:rPr>
          <w:rFonts w:asciiTheme="minorHAnsi" w:hAnsiTheme="minorHAnsi"/>
          <w:sz w:val="22"/>
          <w:szCs w:val="22"/>
        </w:rPr>
        <w:t>uideline’ (Magery et al</w:t>
      </w:r>
      <w:r>
        <w:rPr>
          <w:rFonts w:asciiTheme="minorHAnsi" w:hAnsiTheme="minorHAnsi"/>
          <w:sz w:val="22"/>
          <w:szCs w:val="22"/>
        </w:rPr>
        <w:t>.</w:t>
      </w:r>
      <w:r w:rsidRPr="004D2792">
        <w:rPr>
          <w:rFonts w:asciiTheme="minorHAnsi" w:hAnsiTheme="minorHAnsi"/>
          <w:sz w:val="22"/>
          <w:szCs w:val="22"/>
        </w:rPr>
        <w:t xml:space="preserve"> 2004) and</w:t>
      </w:r>
      <w:r>
        <w:rPr>
          <w:rFonts w:asciiTheme="minorHAnsi" w:hAnsiTheme="minorHAnsi"/>
          <w:sz w:val="22"/>
          <w:szCs w:val="22"/>
        </w:rPr>
        <w:t>, with</w:t>
      </w:r>
      <w:r w:rsidRPr="004D2792">
        <w:rPr>
          <w:rFonts w:asciiTheme="minorHAnsi" w:hAnsiTheme="minorHAnsi"/>
          <w:sz w:val="22"/>
          <w:szCs w:val="22"/>
        </w:rPr>
        <w:t xml:space="preserve"> the endorsement of the </w:t>
      </w:r>
      <w:r>
        <w:rPr>
          <w:rFonts w:asciiTheme="minorHAnsi" w:hAnsiTheme="minorHAnsi"/>
          <w:sz w:val="22"/>
          <w:szCs w:val="22"/>
        </w:rPr>
        <w:t xml:space="preserve">Physiotherapy New Zealand (PNZ), </w:t>
      </w:r>
      <w:r w:rsidRPr="004D2792">
        <w:rPr>
          <w:rFonts w:asciiTheme="minorHAnsi" w:hAnsiTheme="minorHAnsi"/>
          <w:sz w:val="22"/>
          <w:szCs w:val="22"/>
        </w:rPr>
        <w:t xml:space="preserve">established a code of practice for </w:t>
      </w:r>
      <w:r>
        <w:rPr>
          <w:rFonts w:asciiTheme="minorHAnsi" w:hAnsiTheme="minorHAnsi"/>
          <w:sz w:val="22"/>
          <w:szCs w:val="22"/>
        </w:rPr>
        <w:t>c</w:t>
      </w:r>
      <w:r w:rsidRPr="004D2792">
        <w:rPr>
          <w:rFonts w:asciiTheme="minorHAnsi" w:hAnsiTheme="minorHAnsi"/>
          <w:sz w:val="22"/>
          <w:szCs w:val="22"/>
        </w:rPr>
        <w:t xml:space="preserve">ervical </w:t>
      </w:r>
      <w:r>
        <w:rPr>
          <w:rFonts w:asciiTheme="minorHAnsi" w:hAnsiTheme="minorHAnsi"/>
          <w:sz w:val="22"/>
          <w:szCs w:val="22"/>
        </w:rPr>
        <w:t>s</w:t>
      </w:r>
      <w:r w:rsidRPr="004D2792">
        <w:rPr>
          <w:rFonts w:asciiTheme="minorHAnsi" w:hAnsiTheme="minorHAnsi"/>
          <w:sz w:val="22"/>
          <w:szCs w:val="22"/>
        </w:rPr>
        <w:t xml:space="preserve">pine </w:t>
      </w:r>
      <w:r>
        <w:rPr>
          <w:rFonts w:asciiTheme="minorHAnsi" w:hAnsiTheme="minorHAnsi"/>
          <w:sz w:val="22"/>
          <w:szCs w:val="22"/>
        </w:rPr>
        <w:t>m</w:t>
      </w:r>
      <w:r w:rsidRPr="004D2792">
        <w:rPr>
          <w:rFonts w:asciiTheme="minorHAnsi" w:hAnsiTheme="minorHAnsi"/>
          <w:sz w:val="22"/>
          <w:szCs w:val="22"/>
        </w:rPr>
        <w:t>anagement.</w:t>
      </w:r>
    </w:p>
    <w:p w14:paraId="0BB4AB57" w14:textId="77777777" w:rsidR="00DD35F2" w:rsidRPr="004D2792" w:rsidRDefault="00DD35F2" w:rsidP="00313DE9">
      <w:pPr>
        <w:jc w:val="both"/>
        <w:rPr>
          <w:rFonts w:asciiTheme="minorHAnsi" w:hAnsiTheme="minorHAnsi"/>
          <w:sz w:val="22"/>
          <w:szCs w:val="22"/>
        </w:rPr>
      </w:pPr>
    </w:p>
    <w:p w14:paraId="2D1DD02B" w14:textId="77777777" w:rsidR="00DD35F2" w:rsidRPr="004D2792" w:rsidRDefault="00DD35F2" w:rsidP="00313DE9">
      <w:pPr>
        <w:jc w:val="both"/>
        <w:rPr>
          <w:rFonts w:asciiTheme="minorHAnsi" w:hAnsiTheme="minorHAnsi"/>
          <w:sz w:val="22"/>
          <w:szCs w:val="22"/>
        </w:rPr>
      </w:pPr>
      <w:r w:rsidRPr="004D2792">
        <w:rPr>
          <w:rFonts w:asciiTheme="minorHAnsi" w:hAnsiTheme="minorHAnsi"/>
          <w:sz w:val="22"/>
          <w:szCs w:val="22"/>
        </w:rPr>
        <w:t>Th</w:t>
      </w:r>
      <w:r>
        <w:rPr>
          <w:rFonts w:asciiTheme="minorHAnsi" w:hAnsiTheme="minorHAnsi"/>
          <w:sz w:val="22"/>
          <w:szCs w:val="22"/>
        </w:rPr>
        <w:t xml:space="preserve">e 2000 APA VBI Guideline is no longer up to date with contemporary research and best practice and therefore the current code </w:t>
      </w:r>
      <w:r w:rsidRPr="004D2792">
        <w:rPr>
          <w:rFonts w:asciiTheme="minorHAnsi" w:hAnsiTheme="minorHAnsi"/>
          <w:sz w:val="22"/>
          <w:szCs w:val="22"/>
        </w:rPr>
        <w:t>is now in need of updating based on more recent evidence particularly</w:t>
      </w:r>
      <w:r>
        <w:rPr>
          <w:rFonts w:asciiTheme="minorHAnsi" w:hAnsiTheme="minorHAnsi"/>
          <w:sz w:val="22"/>
          <w:szCs w:val="22"/>
        </w:rPr>
        <w:t>,</w:t>
      </w:r>
      <w:r w:rsidRPr="004D2792">
        <w:rPr>
          <w:rFonts w:asciiTheme="minorHAnsi" w:hAnsiTheme="minorHAnsi"/>
          <w:sz w:val="22"/>
          <w:szCs w:val="22"/>
        </w:rPr>
        <w:t xml:space="preserve"> the International Federation of Manipulative Physical Therapists (IFOMPT) International Framework for the examination of the cervical region for potential </w:t>
      </w:r>
      <w:r>
        <w:rPr>
          <w:rFonts w:asciiTheme="minorHAnsi" w:hAnsiTheme="minorHAnsi"/>
          <w:sz w:val="22"/>
          <w:szCs w:val="22"/>
        </w:rPr>
        <w:t>of cervical artery dysfunction p</w:t>
      </w:r>
      <w:r w:rsidRPr="004D2792">
        <w:rPr>
          <w:rFonts w:asciiTheme="minorHAnsi" w:hAnsiTheme="minorHAnsi"/>
          <w:sz w:val="22"/>
          <w:szCs w:val="22"/>
        </w:rPr>
        <w:t xml:space="preserve">rior to Orthopaedic Manual Therapy Intervention (2012) at </w:t>
      </w:r>
      <w:hyperlink r:id="rId8" w:history="1">
        <w:r w:rsidRPr="00F05F30">
          <w:rPr>
            <w:rStyle w:val="Hyperlink"/>
            <w:rFonts w:asciiTheme="minorHAnsi" w:hAnsiTheme="minorHAnsi"/>
            <w:sz w:val="22"/>
            <w:szCs w:val="22"/>
          </w:rPr>
          <w:t>www.ifompt.org</w:t>
        </w:r>
      </w:hyperlink>
      <w:r w:rsidRPr="004D2792">
        <w:rPr>
          <w:rFonts w:asciiTheme="minorHAnsi" w:hAnsiTheme="minorHAnsi"/>
          <w:sz w:val="22"/>
          <w:szCs w:val="22"/>
        </w:rPr>
        <w:t xml:space="preserve"> and the subsequent paper by </w:t>
      </w:r>
      <w:r>
        <w:rPr>
          <w:rFonts w:asciiTheme="minorHAnsi" w:hAnsiTheme="minorHAnsi"/>
          <w:sz w:val="22"/>
          <w:szCs w:val="22"/>
        </w:rPr>
        <w:t>Rushton et al. (2014) which announced and endorsed this framework.</w:t>
      </w:r>
    </w:p>
    <w:p w14:paraId="6BC7D7DC" w14:textId="77777777" w:rsidR="00DD35F2" w:rsidRPr="004D2792" w:rsidRDefault="00DD35F2" w:rsidP="00313DE9">
      <w:pPr>
        <w:jc w:val="both"/>
        <w:rPr>
          <w:rFonts w:asciiTheme="minorHAnsi" w:hAnsiTheme="minorHAnsi"/>
          <w:sz w:val="22"/>
          <w:szCs w:val="22"/>
        </w:rPr>
      </w:pPr>
    </w:p>
    <w:p w14:paraId="6CB115BF" w14:textId="77777777" w:rsidR="00DD35F2" w:rsidRDefault="00DD35F2" w:rsidP="00DD35F2">
      <w:pPr>
        <w:rPr>
          <w:rFonts w:asciiTheme="minorHAnsi" w:hAnsiTheme="minorHAnsi"/>
          <w:b/>
          <w:sz w:val="22"/>
          <w:szCs w:val="22"/>
        </w:rPr>
      </w:pPr>
      <w:r w:rsidRPr="004D2792">
        <w:rPr>
          <w:rFonts w:asciiTheme="minorHAnsi" w:hAnsiTheme="minorHAnsi"/>
          <w:b/>
          <w:sz w:val="22"/>
          <w:szCs w:val="22"/>
        </w:rPr>
        <w:t>Original messages (2000)</w:t>
      </w:r>
    </w:p>
    <w:p w14:paraId="609C1FEB" w14:textId="77777777" w:rsidR="00DD35F2" w:rsidRPr="004D2792" w:rsidRDefault="00DD35F2" w:rsidP="00313DE9">
      <w:pPr>
        <w:jc w:val="both"/>
        <w:rPr>
          <w:rFonts w:asciiTheme="minorHAnsi" w:hAnsiTheme="minorHAnsi"/>
          <w:sz w:val="22"/>
          <w:szCs w:val="22"/>
        </w:rPr>
      </w:pPr>
      <w:r>
        <w:rPr>
          <w:rFonts w:asciiTheme="minorHAnsi" w:hAnsiTheme="minorHAnsi"/>
          <w:sz w:val="22"/>
          <w:szCs w:val="22"/>
        </w:rPr>
        <w:t>There was a clear message in 2000 that a</w:t>
      </w:r>
      <w:r w:rsidRPr="004D2792">
        <w:rPr>
          <w:rFonts w:asciiTheme="minorHAnsi" w:hAnsiTheme="minorHAnsi"/>
          <w:sz w:val="22"/>
          <w:szCs w:val="22"/>
        </w:rPr>
        <w:t>ll patients needed to be screened for risk of damage to the vertebral artery. This screening should involve a detailed history, followed by a physical examination that included the assessment of cervical rotation and ligament stability testing. The subjective examination placed an emphasis on asking for symptoms that might indicate vertebr</w:t>
      </w:r>
      <w:r>
        <w:rPr>
          <w:rFonts w:asciiTheme="minorHAnsi" w:hAnsiTheme="minorHAnsi"/>
          <w:sz w:val="22"/>
          <w:szCs w:val="22"/>
        </w:rPr>
        <w:t>obasilar</w:t>
      </w:r>
      <w:r w:rsidRPr="004D2792">
        <w:rPr>
          <w:rFonts w:asciiTheme="minorHAnsi" w:hAnsiTheme="minorHAnsi"/>
          <w:sz w:val="22"/>
          <w:szCs w:val="22"/>
        </w:rPr>
        <w:t xml:space="preserve"> artery insufficiency (VBI)</w:t>
      </w:r>
      <w:r>
        <w:rPr>
          <w:rFonts w:asciiTheme="minorHAnsi" w:hAnsiTheme="minorHAnsi"/>
          <w:sz w:val="22"/>
          <w:szCs w:val="22"/>
        </w:rPr>
        <w:t>, which included</w:t>
      </w:r>
      <w:r w:rsidRPr="004D2792">
        <w:rPr>
          <w:rFonts w:asciiTheme="minorHAnsi" w:hAnsiTheme="minorHAnsi"/>
          <w:sz w:val="22"/>
          <w:szCs w:val="22"/>
        </w:rPr>
        <w:t xml:space="preserve">: dizziness, double vision, dysarthria, dysphagia, drop attacks, numbness of the face and tongue and nausea (5D’s and 3 N’s). </w:t>
      </w:r>
    </w:p>
    <w:p w14:paraId="60816AFD" w14:textId="77777777" w:rsidR="00DD35F2" w:rsidRDefault="00DD35F2" w:rsidP="00DD35F2">
      <w:pPr>
        <w:rPr>
          <w:rFonts w:asciiTheme="minorHAnsi" w:hAnsiTheme="minorHAnsi"/>
          <w:sz w:val="22"/>
          <w:szCs w:val="22"/>
          <w:lang w:val="en-US"/>
        </w:rPr>
      </w:pPr>
    </w:p>
    <w:p w14:paraId="5FF245F9" w14:textId="77777777" w:rsidR="00DD35F2" w:rsidRPr="004D2792" w:rsidRDefault="00DD35F2" w:rsidP="00DD35F2">
      <w:pPr>
        <w:rPr>
          <w:rFonts w:asciiTheme="minorHAnsi" w:hAnsiTheme="minorHAnsi"/>
          <w:sz w:val="22"/>
          <w:szCs w:val="22"/>
          <w:lang w:val="en-US"/>
        </w:rPr>
      </w:pPr>
      <w:r w:rsidRPr="004D2792">
        <w:rPr>
          <w:rFonts w:asciiTheme="minorHAnsi" w:hAnsiTheme="minorHAnsi"/>
          <w:sz w:val="22"/>
          <w:szCs w:val="22"/>
          <w:lang w:val="en-US"/>
        </w:rPr>
        <w:t>Examination for the presence of symptoms suggestive of VBI was to occur at four stages in the management of a patient with an upper quadrant disorder:</w:t>
      </w:r>
    </w:p>
    <w:p w14:paraId="6C734808" w14:textId="77777777" w:rsidR="00DD35F2" w:rsidRPr="004D2792" w:rsidRDefault="00DD35F2" w:rsidP="00DD35F2">
      <w:pPr>
        <w:numPr>
          <w:ilvl w:val="0"/>
          <w:numId w:val="1"/>
        </w:numPr>
        <w:rPr>
          <w:rFonts w:asciiTheme="minorHAnsi" w:hAnsiTheme="minorHAnsi"/>
          <w:sz w:val="22"/>
          <w:szCs w:val="22"/>
          <w:lang w:val="en-US"/>
        </w:rPr>
      </w:pPr>
      <w:r w:rsidRPr="004D2792">
        <w:rPr>
          <w:rFonts w:asciiTheme="minorHAnsi" w:hAnsiTheme="minorHAnsi"/>
          <w:sz w:val="22"/>
          <w:szCs w:val="22"/>
          <w:lang w:val="en-US"/>
        </w:rPr>
        <w:t>Subjective examination</w:t>
      </w:r>
    </w:p>
    <w:p w14:paraId="1D9F4E4C" w14:textId="77777777" w:rsidR="00DD35F2" w:rsidRPr="004D2792" w:rsidRDefault="00DD35F2" w:rsidP="00DD35F2">
      <w:pPr>
        <w:numPr>
          <w:ilvl w:val="0"/>
          <w:numId w:val="1"/>
        </w:numPr>
        <w:rPr>
          <w:rFonts w:asciiTheme="minorHAnsi" w:hAnsiTheme="minorHAnsi"/>
          <w:sz w:val="22"/>
          <w:szCs w:val="22"/>
          <w:lang w:val="en-US"/>
        </w:rPr>
      </w:pPr>
      <w:r w:rsidRPr="004D2792">
        <w:rPr>
          <w:rFonts w:asciiTheme="minorHAnsi" w:hAnsiTheme="minorHAnsi"/>
          <w:sz w:val="22"/>
          <w:szCs w:val="22"/>
          <w:lang w:val="en-US"/>
        </w:rPr>
        <w:t>Physical examination</w:t>
      </w:r>
    </w:p>
    <w:p w14:paraId="038B88F6" w14:textId="77777777" w:rsidR="00DD35F2" w:rsidRPr="004D2792" w:rsidRDefault="00DD35F2" w:rsidP="00DD35F2">
      <w:pPr>
        <w:numPr>
          <w:ilvl w:val="0"/>
          <w:numId w:val="1"/>
        </w:numPr>
        <w:rPr>
          <w:rFonts w:asciiTheme="minorHAnsi" w:hAnsiTheme="minorHAnsi"/>
          <w:sz w:val="22"/>
          <w:szCs w:val="22"/>
          <w:lang w:val="en-US"/>
        </w:rPr>
      </w:pPr>
      <w:r w:rsidRPr="004D2792">
        <w:rPr>
          <w:rFonts w:asciiTheme="minorHAnsi" w:hAnsiTheme="minorHAnsi"/>
          <w:sz w:val="22"/>
          <w:szCs w:val="22"/>
          <w:lang w:val="en-US"/>
        </w:rPr>
        <w:t>Assessment of symptoms provoked during treatment of the cervical spine</w:t>
      </w:r>
    </w:p>
    <w:p w14:paraId="1B12068F" w14:textId="77777777" w:rsidR="00DD35F2" w:rsidRDefault="00DD35F2" w:rsidP="00DD35F2">
      <w:pPr>
        <w:numPr>
          <w:ilvl w:val="0"/>
          <w:numId w:val="1"/>
        </w:numPr>
        <w:rPr>
          <w:rFonts w:asciiTheme="minorHAnsi" w:hAnsiTheme="minorHAnsi"/>
          <w:sz w:val="22"/>
          <w:szCs w:val="22"/>
          <w:lang w:val="en-US"/>
        </w:rPr>
      </w:pPr>
      <w:r w:rsidRPr="004D2792">
        <w:rPr>
          <w:rFonts w:asciiTheme="minorHAnsi" w:hAnsiTheme="minorHAnsi"/>
          <w:sz w:val="22"/>
          <w:szCs w:val="22"/>
          <w:lang w:val="en-US"/>
        </w:rPr>
        <w:t>Assessment of symptoms following treatment</w:t>
      </w:r>
    </w:p>
    <w:p w14:paraId="1D92507A" w14:textId="77777777" w:rsidR="00DD35F2" w:rsidRPr="004D2792" w:rsidRDefault="00DD35F2" w:rsidP="00DD35F2">
      <w:pPr>
        <w:ind w:left="1080"/>
        <w:rPr>
          <w:rFonts w:asciiTheme="minorHAnsi" w:hAnsiTheme="minorHAnsi"/>
          <w:sz w:val="22"/>
          <w:szCs w:val="22"/>
          <w:lang w:val="en-US"/>
        </w:rPr>
      </w:pPr>
    </w:p>
    <w:p w14:paraId="11261876" w14:textId="77777777" w:rsidR="00DD35F2" w:rsidRPr="004D2792" w:rsidRDefault="00DD35F2" w:rsidP="00DD35F2">
      <w:pPr>
        <w:rPr>
          <w:rFonts w:asciiTheme="minorHAnsi" w:hAnsiTheme="minorHAnsi"/>
          <w:sz w:val="22"/>
          <w:szCs w:val="22"/>
          <w:lang w:val="en-US"/>
        </w:rPr>
      </w:pPr>
      <w:r w:rsidRPr="004D2792">
        <w:rPr>
          <w:rFonts w:asciiTheme="minorHAnsi" w:hAnsiTheme="minorHAnsi"/>
          <w:sz w:val="22"/>
          <w:szCs w:val="22"/>
          <w:lang w:val="en-US"/>
        </w:rPr>
        <w:t xml:space="preserve">During the physical examination the </w:t>
      </w:r>
      <w:r w:rsidRPr="004D2792">
        <w:rPr>
          <w:rFonts w:asciiTheme="minorHAnsi" w:hAnsiTheme="minorHAnsi"/>
          <w:sz w:val="22"/>
          <w:szCs w:val="22"/>
          <w:u w:val="single"/>
        </w:rPr>
        <w:t>minimum</w:t>
      </w:r>
      <w:r w:rsidRPr="004D2792">
        <w:rPr>
          <w:rFonts w:asciiTheme="minorHAnsi" w:hAnsiTheme="minorHAnsi"/>
          <w:sz w:val="22"/>
          <w:szCs w:val="22"/>
        </w:rPr>
        <w:t xml:space="preserve"> testing recommended included:</w:t>
      </w:r>
    </w:p>
    <w:p w14:paraId="7D852CEC" w14:textId="77777777" w:rsidR="00DD35F2" w:rsidRPr="004D2792" w:rsidRDefault="00DD35F2" w:rsidP="00313DE9">
      <w:pPr>
        <w:pStyle w:val="Header"/>
        <w:widowControl w:val="0"/>
        <w:numPr>
          <w:ilvl w:val="0"/>
          <w:numId w:val="4"/>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Sustained end range cervical rotation to the left and right</w:t>
      </w:r>
    </w:p>
    <w:p w14:paraId="79195391" w14:textId="77777777" w:rsidR="00DD35F2" w:rsidRPr="004D2792" w:rsidRDefault="00DD35F2" w:rsidP="00313DE9">
      <w:pPr>
        <w:pStyle w:val="Header"/>
        <w:widowControl w:val="0"/>
        <w:numPr>
          <w:ilvl w:val="0"/>
          <w:numId w:val="4"/>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The position or movement which provoke</w:t>
      </w:r>
      <w:r>
        <w:rPr>
          <w:rFonts w:asciiTheme="minorHAnsi" w:hAnsiTheme="minorHAnsi"/>
          <w:sz w:val="22"/>
          <w:szCs w:val="22"/>
        </w:rPr>
        <w:t>d</w:t>
      </w:r>
      <w:r w:rsidRPr="004D2792">
        <w:rPr>
          <w:rFonts w:asciiTheme="minorHAnsi" w:hAnsiTheme="minorHAnsi"/>
          <w:sz w:val="22"/>
          <w:szCs w:val="22"/>
        </w:rPr>
        <w:t xml:space="preserve"> symptoms as described by the patient</w:t>
      </w:r>
    </w:p>
    <w:p w14:paraId="5BA7C900" w14:textId="77777777" w:rsidR="00DD35F2" w:rsidRPr="004D2792" w:rsidRDefault="00DD35F2" w:rsidP="00313DE9">
      <w:pPr>
        <w:pStyle w:val="Header"/>
        <w:widowControl w:val="0"/>
        <w:numPr>
          <w:ilvl w:val="0"/>
          <w:numId w:val="4"/>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All positions should be sustained for a minimum of 10 seconds, unless symptoms </w:t>
      </w:r>
      <w:r>
        <w:rPr>
          <w:rFonts w:asciiTheme="minorHAnsi" w:hAnsiTheme="minorHAnsi"/>
          <w:sz w:val="22"/>
          <w:szCs w:val="22"/>
        </w:rPr>
        <w:t>were</w:t>
      </w:r>
      <w:r w:rsidRPr="004D2792">
        <w:rPr>
          <w:rFonts w:asciiTheme="minorHAnsi" w:hAnsiTheme="minorHAnsi"/>
          <w:sz w:val="22"/>
          <w:szCs w:val="22"/>
        </w:rPr>
        <w:t xml:space="preserve"> provoked sooner. The therapist should examine the patient’s eyes for the production of nystagmus while the head is held in the sustained position and simultaneously question the patient about the reproduction of symptoms.</w:t>
      </w:r>
    </w:p>
    <w:p w14:paraId="4ED6F16C" w14:textId="77777777" w:rsidR="00DD35F2" w:rsidRPr="004D2792" w:rsidRDefault="00DD35F2" w:rsidP="00313DE9">
      <w:pPr>
        <w:pStyle w:val="Header"/>
        <w:widowControl w:val="0"/>
        <w:numPr>
          <w:ilvl w:val="0"/>
          <w:numId w:val="4"/>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On return to neutral from the sustained position, a period of at least 10 seconds should be allowed before proceeding with the next examination procedure. During this time, the patient should be questioned about the provocation of symptoms and the patient’s eyes should again be observed for nystagmus. Therapists should be aware of the potential for a latent response to movement and positional testing.</w:t>
      </w:r>
    </w:p>
    <w:p w14:paraId="26F88FB5" w14:textId="77777777" w:rsidR="00DD35F2" w:rsidRDefault="00DD35F2" w:rsidP="00313DE9">
      <w:pPr>
        <w:pStyle w:val="Header"/>
        <w:widowControl w:val="0"/>
        <w:tabs>
          <w:tab w:val="clear" w:pos="4153"/>
          <w:tab w:val="clear" w:pos="8306"/>
          <w:tab w:val="num" w:pos="1440"/>
        </w:tabs>
        <w:jc w:val="both"/>
        <w:rPr>
          <w:rFonts w:asciiTheme="minorHAnsi" w:hAnsiTheme="minorHAnsi"/>
          <w:sz w:val="22"/>
          <w:szCs w:val="22"/>
        </w:rPr>
      </w:pPr>
    </w:p>
    <w:p w14:paraId="49AAA18C" w14:textId="77777777" w:rsidR="00DD35F2" w:rsidRPr="004D2792" w:rsidRDefault="00DD35F2" w:rsidP="00313DE9">
      <w:pPr>
        <w:pStyle w:val="Header"/>
        <w:widowControl w:val="0"/>
        <w:tabs>
          <w:tab w:val="clear" w:pos="4153"/>
          <w:tab w:val="clear" w:pos="8306"/>
          <w:tab w:val="num" w:pos="1440"/>
        </w:tabs>
        <w:jc w:val="both"/>
        <w:rPr>
          <w:rFonts w:asciiTheme="minorHAnsi" w:hAnsiTheme="minorHAnsi"/>
          <w:sz w:val="22"/>
          <w:szCs w:val="22"/>
        </w:rPr>
      </w:pPr>
      <w:r w:rsidRPr="004D2792">
        <w:rPr>
          <w:rFonts w:asciiTheme="minorHAnsi" w:hAnsiTheme="minorHAnsi"/>
          <w:sz w:val="22"/>
          <w:szCs w:val="22"/>
        </w:rPr>
        <w:t>Whilst the above ha</w:t>
      </w:r>
      <w:r>
        <w:rPr>
          <w:rFonts w:asciiTheme="minorHAnsi" w:hAnsiTheme="minorHAnsi"/>
          <w:sz w:val="22"/>
          <w:szCs w:val="22"/>
        </w:rPr>
        <w:t>d</w:t>
      </w:r>
      <w:r w:rsidRPr="004D2792">
        <w:rPr>
          <w:rFonts w:asciiTheme="minorHAnsi" w:hAnsiTheme="minorHAnsi"/>
          <w:sz w:val="22"/>
          <w:szCs w:val="22"/>
        </w:rPr>
        <w:t xml:space="preserve"> been the accepted standard of practice</w:t>
      </w:r>
      <w:r>
        <w:rPr>
          <w:rFonts w:asciiTheme="minorHAnsi" w:hAnsiTheme="minorHAnsi"/>
          <w:sz w:val="22"/>
          <w:szCs w:val="22"/>
        </w:rPr>
        <w:t>,</w:t>
      </w:r>
      <w:r w:rsidRPr="004D2792">
        <w:rPr>
          <w:rFonts w:asciiTheme="minorHAnsi" w:hAnsiTheme="minorHAnsi"/>
          <w:sz w:val="22"/>
          <w:szCs w:val="22"/>
        </w:rPr>
        <w:t xml:space="preserve"> three key issues have emerged in more recent research</w:t>
      </w:r>
      <w:r>
        <w:rPr>
          <w:rFonts w:asciiTheme="minorHAnsi" w:hAnsiTheme="minorHAnsi"/>
          <w:sz w:val="22"/>
          <w:szCs w:val="22"/>
        </w:rPr>
        <w:t>:</w:t>
      </w:r>
    </w:p>
    <w:p w14:paraId="320452F9" w14:textId="77777777" w:rsidR="00DD35F2" w:rsidRPr="004D2792" w:rsidRDefault="00DD35F2" w:rsidP="00313DE9">
      <w:pPr>
        <w:pStyle w:val="Header"/>
        <w:widowControl w:val="0"/>
        <w:numPr>
          <w:ilvl w:val="0"/>
          <w:numId w:val="2"/>
        </w:numPr>
        <w:tabs>
          <w:tab w:val="num" w:pos="1440"/>
        </w:tabs>
        <w:ind w:left="1134"/>
        <w:jc w:val="both"/>
        <w:rPr>
          <w:rFonts w:asciiTheme="minorHAnsi" w:hAnsiTheme="minorHAnsi"/>
          <w:sz w:val="22"/>
          <w:szCs w:val="22"/>
          <w:lang w:val="en-NZ"/>
        </w:rPr>
      </w:pPr>
      <w:r w:rsidRPr="004D2792">
        <w:rPr>
          <w:rFonts w:asciiTheme="minorHAnsi" w:hAnsiTheme="minorHAnsi"/>
          <w:sz w:val="22"/>
          <w:szCs w:val="22"/>
        </w:rPr>
        <w:t xml:space="preserve">The actual physical tests of cervical rotation have limited diagnostic utility </w:t>
      </w:r>
      <w:r>
        <w:rPr>
          <w:rFonts w:asciiTheme="minorHAnsi" w:hAnsiTheme="minorHAnsi"/>
          <w:sz w:val="22"/>
          <w:szCs w:val="22"/>
        </w:rPr>
        <w:t xml:space="preserve">for the reproduction of the VBI symptoms </w:t>
      </w:r>
      <w:r w:rsidRPr="004D2792">
        <w:rPr>
          <w:rFonts w:asciiTheme="minorHAnsi" w:hAnsiTheme="minorHAnsi"/>
          <w:sz w:val="22"/>
          <w:szCs w:val="22"/>
        </w:rPr>
        <w:t>(</w:t>
      </w:r>
      <w:r>
        <w:rPr>
          <w:rFonts w:asciiTheme="minorHAnsi" w:hAnsiTheme="minorHAnsi"/>
          <w:sz w:val="22"/>
          <w:szCs w:val="22"/>
          <w:lang w:val="en-NZ"/>
        </w:rPr>
        <w:t>s</w:t>
      </w:r>
      <w:r w:rsidRPr="004D2792">
        <w:rPr>
          <w:rFonts w:asciiTheme="minorHAnsi" w:hAnsiTheme="minorHAnsi"/>
          <w:sz w:val="22"/>
          <w:szCs w:val="22"/>
          <w:lang w:val="en-NZ"/>
        </w:rPr>
        <w:t>ensitivity of 0%–21% and specificity of 23%–90%</w:t>
      </w:r>
      <w:r>
        <w:rPr>
          <w:rFonts w:asciiTheme="minorHAnsi" w:hAnsiTheme="minorHAnsi"/>
          <w:sz w:val="22"/>
          <w:szCs w:val="22"/>
          <w:lang w:val="en-NZ"/>
        </w:rPr>
        <w:t>)</w:t>
      </w:r>
      <w:r w:rsidRPr="004D2792">
        <w:rPr>
          <w:rFonts w:asciiTheme="minorHAnsi" w:hAnsiTheme="minorHAnsi"/>
          <w:sz w:val="22"/>
          <w:szCs w:val="22"/>
          <w:lang w:val="en-NZ"/>
        </w:rPr>
        <w:t xml:space="preserve"> (Ritcher and Reinking, 2005).</w:t>
      </w:r>
    </w:p>
    <w:p w14:paraId="6AEFEF80" w14:textId="77777777" w:rsidR="00DD35F2" w:rsidRPr="004D2792" w:rsidRDefault="00DD35F2" w:rsidP="00313DE9">
      <w:pPr>
        <w:pStyle w:val="Header"/>
        <w:widowControl w:val="0"/>
        <w:numPr>
          <w:ilvl w:val="0"/>
          <w:numId w:val="2"/>
        </w:numPr>
        <w:tabs>
          <w:tab w:val="clear" w:pos="4153"/>
          <w:tab w:val="clear" w:pos="8306"/>
          <w:tab w:val="num" w:pos="1440"/>
        </w:tabs>
        <w:ind w:left="1134"/>
        <w:jc w:val="both"/>
        <w:rPr>
          <w:rFonts w:asciiTheme="minorHAnsi" w:hAnsiTheme="minorHAnsi"/>
          <w:sz w:val="22"/>
          <w:szCs w:val="22"/>
        </w:rPr>
      </w:pPr>
      <w:r w:rsidRPr="004D2792">
        <w:rPr>
          <w:rFonts w:asciiTheme="minorHAnsi" w:hAnsiTheme="minorHAnsi"/>
          <w:sz w:val="22"/>
          <w:szCs w:val="22"/>
        </w:rPr>
        <w:t>The importance of the subjective history in particular health related risk factors now has greater importance in predicting risk than the physical tests</w:t>
      </w:r>
      <w:r>
        <w:rPr>
          <w:rFonts w:asciiTheme="minorHAnsi" w:hAnsiTheme="minorHAnsi"/>
          <w:sz w:val="22"/>
          <w:szCs w:val="22"/>
        </w:rPr>
        <w:t xml:space="preserve"> (Rushton et al 2014)</w:t>
      </w:r>
      <w:r w:rsidRPr="004D2792">
        <w:rPr>
          <w:rFonts w:asciiTheme="minorHAnsi" w:hAnsiTheme="minorHAnsi"/>
          <w:sz w:val="22"/>
          <w:szCs w:val="22"/>
        </w:rPr>
        <w:t>.</w:t>
      </w:r>
    </w:p>
    <w:p w14:paraId="11C3E190" w14:textId="77777777" w:rsidR="00DD35F2" w:rsidRPr="004D2792" w:rsidRDefault="00DD35F2" w:rsidP="00313DE9">
      <w:pPr>
        <w:pStyle w:val="Header"/>
        <w:widowControl w:val="0"/>
        <w:numPr>
          <w:ilvl w:val="0"/>
          <w:numId w:val="2"/>
        </w:numPr>
        <w:tabs>
          <w:tab w:val="clear" w:pos="4153"/>
          <w:tab w:val="clear" w:pos="8306"/>
          <w:tab w:val="num" w:pos="1440"/>
        </w:tabs>
        <w:ind w:left="1134"/>
        <w:jc w:val="both"/>
        <w:rPr>
          <w:rFonts w:asciiTheme="minorHAnsi" w:hAnsiTheme="minorHAnsi"/>
          <w:sz w:val="22"/>
          <w:szCs w:val="22"/>
        </w:rPr>
      </w:pPr>
      <w:r w:rsidRPr="004D2792">
        <w:rPr>
          <w:rFonts w:asciiTheme="minorHAnsi" w:hAnsiTheme="minorHAnsi"/>
          <w:sz w:val="22"/>
          <w:szCs w:val="22"/>
        </w:rPr>
        <w:t>The physical tests need to include an assessment of blood pressure and potentially the cranial nerves</w:t>
      </w:r>
      <w:r w:rsidRPr="009F5D09">
        <w:rPr>
          <w:rFonts w:asciiTheme="minorHAnsi" w:hAnsiTheme="minorHAnsi"/>
          <w:sz w:val="22"/>
          <w:szCs w:val="22"/>
        </w:rPr>
        <w:t xml:space="preserve"> </w:t>
      </w:r>
      <w:r>
        <w:rPr>
          <w:rFonts w:asciiTheme="minorHAnsi" w:hAnsiTheme="minorHAnsi"/>
          <w:sz w:val="22"/>
          <w:szCs w:val="22"/>
        </w:rPr>
        <w:t>(Rushton et al 2014)</w:t>
      </w:r>
      <w:r w:rsidRPr="004D2792">
        <w:rPr>
          <w:rFonts w:asciiTheme="minorHAnsi" w:hAnsiTheme="minorHAnsi"/>
          <w:sz w:val="22"/>
          <w:szCs w:val="22"/>
        </w:rPr>
        <w:t>.</w:t>
      </w:r>
    </w:p>
    <w:p w14:paraId="22B0FFB2" w14:textId="77777777" w:rsidR="00DD35F2" w:rsidRPr="004D2792" w:rsidRDefault="00DD35F2" w:rsidP="00313DE9">
      <w:pPr>
        <w:pStyle w:val="Header"/>
        <w:widowControl w:val="0"/>
        <w:tabs>
          <w:tab w:val="clear" w:pos="4153"/>
          <w:tab w:val="clear" w:pos="8306"/>
          <w:tab w:val="num" w:pos="1440"/>
        </w:tabs>
        <w:jc w:val="both"/>
        <w:rPr>
          <w:rFonts w:asciiTheme="minorHAnsi" w:hAnsiTheme="minorHAnsi"/>
          <w:sz w:val="22"/>
          <w:szCs w:val="22"/>
        </w:rPr>
      </w:pPr>
    </w:p>
    <w:p w14:paraId="7B4E13D8" w14:textId="77777777" w:rsidR="00DD35F2" w:rsidRPr="004D2792" w:rsidRDefault="00DD35F2" w:rsidP="00313DE9">
      <w:pPr>
        <w:pStyle w:val="Header"/>
        <w:widowControl w:val="0"/>
        <w:tabs>
          <w:tab w:val="clear" w:pos="4153"/>
          <w:tab w:val="clear" w:pos="8306"/>
          <w:tab w:val="num" w:pos="1440"/>
        </w:tabs>
        <w:jc w:val="both"/>
        <w:rPr>
          <w:rFonts w:asciiTheme="minorHAnsi" w:hAnsiTheme="minorHAnsi"/>
          <w:b/>
          <w:sz w:val="22"/>
          <w:szCs w:val="22"/>
        </w:rPr>
      </w:pPr>
      <w:r w:rsidRPr="004D2792">
        <w:rPr>
          <w:rFonts w:asciiTheme="minorHAnsi" w:hAnsiTheme="minorHAnsi"/>
          <w:b/>
          <w:sz w:val="22"/>
          <w:szCs w:val="22"/>
        </w:rPr>
        <w:t>New requirements</w:t>
      </w:r>
    </w:p>
    <w:p w14:paraId="7D5C50E8" w14:textId="77777777" w:rsidR="00DD35F2" w:rsidRDefault="00DD35F2" w:rsidP="00313DE9">
      <w:pPr>
        <w:pStyle w:val="Header"/>
        <w:widowControl w:val="0"/>
        <w:tabs>
          <w:tab w:val="clear" w:pos="4153"/>
          <w:tab w:val="clear" w:pos="8306"/>
          <w:tab w:val="num" w:pos="1440"/>
        </w:tabs>
        <w:jc w:val="both"/>
        <w:rPr>
          <w:rFonts w:asciiTheme="minorHAnsi" w:hAnsiTheme="minorHAnsi"/>
          <w:sz w:val="22"/>
          <w:szCs w:val="22"/>
        </w:rPr>
      </w:pPr>
      <w:r>
        <w:rPr>
          <w:rFonts w:asciiTheme="minorHAnsi" w:hAnsiTheme="minorHAnsi"/>
          <w:sz w:val="22"/>
          <w:szCs w:val="22"/>
        </w:rPr>
        <w:t xml:space="preserve">Rather than a protocol of ‘pre-screening’, the new change has presented a </w:t>
      </w:r>
      <w:r w:rsidRPr="004D2792">
        <w:rPr>
          <w:rFonts w:asciiTheme="minorHAnsi" w:hAnsiTheme="minorHAnsi"/>
          <w:sz w:val="22"/>
          <w:szCs w:val="22"/>
        </w:rPr>
        <w:t xml:space="preserve">framework for examination of the cervical region for </w:t>
      </w:r>
      <w:r>
        <w:rPr>
          <w:rFonts w:asciiTheme="minorHAnsi" w:hAnsiTheme="minorHAnsi"/>
          <w:sz w:val="22"/>
          <w:szCs w:val="22"/>
        </w:rPr>
        <w:t xml:space="preserve">the </w:t>
      </w:r>
      <w:r w:rsidRPr="004D2792">
        <w:rPr>
          <w:rFonts w:asciiTheme="minorHAnsi" w:hAnsiTheme="minorHAnsi"/>
          <w:sz w:val="22"/>
          <w:szCs w:val="22"/>
        </w:rPr>
        <w:t xml:space="preserve">potential of Cervical Arterial Dysfunction (CAD) prior to </w:t>
      </w:r>
      <w:r>
        <w:rPr>
          <w:rFonts w:asciiTheme="minorHAnsi" w:hAnsiTheme="minorHAnsi"/>
          <w:sz w:val="22"/>
          <w:szCs w:val="22"/>
        </w:rPr>
        <w:t>assessment and management of the cervical spine</w:t>
      </w:r>
      <w:r w:rsidRPr="004D2792">
        <w:rPr>
          <w:rFonts w:asciiTheme="minorHAnsi" w:hAnsiTheme="minorHAnsi"/>
          <w:sz w:val="22"/>
          <w:szCs w:val="22"/>
        </w:rPr>
        <w:t>. The following information is a summary of the main areas to consider taken from the IFOMPT website and the Rushton</w:t>
      </w:r>
      <w:r>
        <w:rPr>
          <w:rFonts w:asciiTheme="minorHAnsi" w:hAnsiTheme="minorHAnsi"/>
          <w:sz w:val="22"/>
          <w:szCs w:val="22"/>
        </w:rPr>
        <w:t xml:space="preserve"> et al.</w:t>
      </w:r>
      <w:r w:rsidRPr="004D2792">
        <w:rPr>
          <w:rFonts w:asciiTheme="minorHAnsi" w:hAnsiTheme="minorHAnsi"/>
          <w:sz w:val="22"/>
          <w:szCs w:val="22"/>
        </w:rPr>
        <w:t xml:space="preserve"> (2014) paper.</w:t>
      </w:r>
    </w:p>
    <w:p w14:paraId="5998D5D5" w14:textId="77777777" w:rsidR="00DD35F2" w:rsidRPr="004D2792" w:rsidRDefault="00DD35F2" w:rsidP="00313DE9">
      <w:pPr>
        <w:pStyle w:val="Header"/>
        <w:widowControl w:val="0"/>
        <w:tabs>
          <w:tab w:val="clear" w:pos="4153"/>
          <w:tab w:val="clear" w:pos="8306"/>
          <w:tab w:val="num" w:pos="1440"/>
        </w:tabs>
        <w:jc w:val="both"/>
        <w:rPr>
          <w:rFonts w:asciiTheme="minorHAnsi" w:hAnsiTheme="minorHAnsi"/>
          <w:sz w:val="22"/>
          <w:szCs w:val="22"/>
        </w:rPr>
      </w:pPr>
    </w:p>
    <w:p w14:paraId="57502877" w14:textId="77777777" w:rsidR="00DD35F2" w:rsidRPr="00136EA8" w:rsidRDefault="00DD35F2" w:rsidP="00313DE9">
      <w:pPr>
        <w:pStyle w:val="Header"/>
        <w:widowControl w:val="0"/>
        <w:tabs>
          <w:tab w:val="clear" w:pos="4153"/>
          <w:tab w:val="clear" w:pos="8306"/>
          <w:tab w:val="num" w:pos="1440"/>
        </w:tabs>
        <w:jc w:val="both"/>
        <w:rPr>
          <w:rFonts w:asciiTheme="minorHAnsi" w:hAnsiTheme="minorHAnsi"/>
          <w:b/>
          <w:sz w:val="22"/>
          <w:szCs w:val="22"/>
          <w:u w:val="single"/>
        </w:rPr>
      </w:pPr>
      <w:r w:rsidRPr="00136EA8">
        <w:rPr>
          <w:rFonts w:asciiTheme="minorHAnsi" w:hAnsiTheme="minorHAnsi"/>
          <w:b/>
          <w:sz w:val="22"/>
          <w:szCs w:val="22"/>
          <w:u w:val="single"/>
        </w:rPr>
        <w:t>1. Subjective interview</w:t>
      </w:r>
    </w:p>
    <w:p w14:paraId="392D4023" w14:textId="77777777" w:rsidR="00DD35F2" w:rsidRDefault="00DD35F2" w:rsidP="00313DE9">
      <w:pPr>
        <w:pStyle w:val="Header"/>
        <w:widowControl w:val="0"/>
        <w:tabs>
          <w:tab w:val="clear" w:pos="4153"/>
          <w:tab w:val="clear" w:pos="8306"/>
          <w:tab w:val="num" w:pos="1440"/>
        </w:tabs>
        <w:jc w:val="both"/>
        <w:rPr>
          <w:rFonts w:asciiTheme="minorHAnsi" w:hAnsiTheme="minorHAnsi"/>
          <w:sz w:val="22"/>
          <w:szCs w:val="22"/>
        </w:rPr>
      </w:pPr>
      <w:r w:rsidRPr="004D2792">
        <w:rPr>
          <w:rFonts w:asciiTheme="minorHAnsi" w:hAnsiTheme="minorHAnsi"/>
          <w:sz w:val="22"/>
          <w:szCs w:val="22"/>
        </w:rPr>
        <w:t>Following the a</w:t>
      </w:r>
      <w:r>
        <w:rPr>
          <w:rFonts w:asciiTheme="minorHAnsi" w:hAnsiTheme="minorHAnsi"/>
          <w:sz w:val="22"/>
          <w:szCs w:val="22"/>
        </w:rPr>
        <w:t xml:space="preserve">ppropriate subjective interview, </w:t>
      </w:r>
      <w:r w:rsidRPr="004D2792">
        <w:rPr>
          <w:rFonts w:asciiTheme="minorHAnsi" w:hAnsiTheme="minorHAnsi"/>
          <w:sz w:val="22"/>
          <w:szCs w:val="22"/>
        </w:rPr>
        <w:t>the following risk factors need to be screened for:</w:t>
      </w:r>
    </w:p>
    <w:p w14:paraId="18024F91" w14:textId="77777777" w:rsidR="00DD35F2" w:rsidRDefault="00DD35F2" w:rsidP="00313DE9">
      <w:pPr>
        <w:pStyle w:val="Header"/>
        <w:widowControl w:val="0"/>
        <w:tabs>
          <w:tab w:val="clear" w:pos="4153"/>
          <w:tab w:val="clear" w:pos="8306"/>
          <w:tab w:val="num" w:pos="1440"/>
        </w:tabs>
        <w:jc w:val="both"/>
        <w:rPr>
          <w:rFonts w:asciiTheme="minorHAnsi" w:hAnsiTheme="minorHAnsi"/>
          <w:sz w:val="22"/>
          <w:szCs w:val="22"/>
        </w:rPr>
      </w:pPr>
    </w:p>
    <w:p w14:paraId="2BB320C7" w14:textId="77777777" w:rsidR="00DD35F2" w:rsidRPr="003B1FE5" w:rsidRDefault="00DD35F2" w:rsidP="00313DE9">
      <w:pPr>
        <w:pStyle w:val="Header"/>
        <w:widowControl w:val="0"/>
        <w:tabs>
          <w:tab w:val="clear" w:pos="4153"/>
          <w:tab w:val="clear" w:pos="8306"/>
          <w:tab w:val="num" w:pos="1440"/>
        </w:tabs>
        <w:jc w:val="both"/>
        <w:rPr>
          <w:rFonts w:asciiTheme="minorHAnsi" w:hAnsiTheme="minorHAnsi"/>
          <w:sz w:val="22"/>
          <w:szCs w:val="22"/>
          <w:u w:val="single"/>
        </w:rPr>
      </w:pPr>
      <w:r w:rsidRPr="003B1FE5">
        <w:rPr>
          <w:rFonts w:asciiTheme="minorHAnsi" w:hAnsiTheme="minorHAnsi"/>
          <w:sz w:val="22"/>
          <w:szCs w:val="22"/>
          <w:u w:val="single"/>
        </w:rPr>
        <w:t>1.1 Cervical arterial dysfunction</w:t>
      </w:r>
    </w:p>
    <w:p w14:paraId="11FD477D" w14:textId="77777777" w:rsidR="00DD35F2" w:rsidRPr="004D2792" w:rsidRDefault="00DD35F2" w:rsidP="00313DE9">
      <w:pPr>
        <w:pStyle w:val="Header"/>
        <w:widowControl w:val="0"/>
        <w:tabs>
          <w:tab w:val="clear" w:pos="4153"/>
          <w:tab w:val="clear" w:pos="8306"/>
          <w:tab w:val="num" w:pos="1440"/>
        </w:tabs>
        <w:jc w:val="both"/>
        <w:rPr>
          <w:rFonts w:asciiTheme="minorHAnsi" w:hAnsiTheme="minorHAnsi"/>
          <w:sz w:val="22"/>
          <w:szCs w:val="22"/>
        </w:rPr>
      </w:pPr>
      <w:r w:rsidRPr="004D2792">
        <w:rPr>
          <w:rFonts w:asciiTheme="minorHAnsi" w:hAnsiTheme="minorHAnsi"/>
          <w:sz w:val="22"/>
          <w:szCs w:val="22"/>
        </w:rPr>
        <w:t>The following risk factors are associated with an increased risk of either internal carotid or vertebrobasilar arterial pathology and should be thoroughly assessed during the patient history (Arnold and Bousser, 2005; Kerry et al, 2008):</w:t>
      </w:r>
    </w:p>
    <w:p w14:paraId="3CAC4E0B"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Past history of trauma to cervical spine / cervical vessels</w:t>
      </w:r>
    </w:p>
    <w:p w14:paraId="393AC859"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History of migraine-type headache</w:t>
      </w:r>
    </w:p>
    <w:p w14:paraId="1F24DBB2"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Hypertension </w:t>
      </w:r>
    </w:p>
    <w:p w14:paraId="640CFB93"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Hypercholesterolemia / hyperlipidemia </w:t>
      </w:r>
    </w:p>
    <w:p w14:paraId="611C3448"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Cardiac disease, vascular disease, previous cerebrovascular accident or transient ischaemic attack</w:t>
      </w:r>
    </w:p>
    <w:p w14:paraId="120E8DFE"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Diabetes mellitus </w:t>
      </w:r>
    </w:p>
    <w:p w14:paraId="536A08F6"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Blood clotting disorders / alterations in blood properties (e.g. hyperhomocysteinemia)</w:t>
      </w:r>
    </w:p>
    <w:p w14:paraId="25E6AE58"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Anticoagulant therapy</w:t>
      </w:r>
    </w:p>
    <w:p w14:paraId="1DBB2BCE"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Long-term use of steroids </w:t>
      </w:r>
    </w:p>
    <w:p w14:paraId="308C3C67"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History of smoking</w:t>
      </w:r>
    </w:p>
    <w:p w14:paraId="0EF60899"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Recent infection </w:t>
      </w:r>
    </w:p>
    <w:p w14:paraId="0FB48C82"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Immediately post</w:t>
      </w:r>
      <w:r>
        <w:rPr>
          <w:rFonts w:asciiTheme="minorHAnsi" w:hAnsiTheme="minorHAnsi"/>
          <w:sz w:val="22"/>
          <w:szCs w:val="22"/>
        </w:rPr>
        <w:t>-</w:t>
      </w:r>
      <w:r w:rsidRPr="004D2792">
        <w:rPr>
          <w:rFonts w:asciiTheme="minorHAnsi" w:hAnsiTheme="minorHAnsi"/>
          <w:sz w:val="22"/>
          <w:szCs w:val="22"/>
        </w:rPr>
        <w:t xml:space="preserve">partum </w:t>
      </w:r>
    </w:p>
    <w:p w14:paraId="1C7F102D"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Trivial head or neck trauma (Haneline and Lewkovich, 2005; Thomas et al, 2011)</w:t>
      </w:r>
    </w:p>
    <w:p w14:paraId="519C439F" w14:textId="77777777" w:rsidR="00DD35F2" w:rsidRPr="004D2792" w:rsidRDefault="00DD35F2" w:rsidP="00313DE9">
      <w:pPr>
        <w:pStyle w:val="Header"/>
        <w:widowControl w:val="0"/>
        <w:numPr>
          <w:ilvl w:val="0"/>
          <w:numId w:val="5"/>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Absence of a plausible mechanical explanation for the patient’s symptoms. </w:t>
      </w:r>
    </w:p>
    <w:p w14:paraId="72DB0A38" w14:textId="77777777" w:rsidR="00DD35F2" w:rsidRDefault="00DD35F2" w:rsidP="00313DE9">
      <w:pPr>
        <w:pStyle w:val="Header"/>
        <w:widowControl w:val="0"/>
        <w:tabs>
          <w:tab w:val="clear" w:pos="4153"/>
          <w:tab w:val="clear" w:pos="8306"/>
          <w:tab w:val="num" w:pos="1440"/>
        </w:tabs>
        <w:jc w:val="both"/>
        <w:rPr>
          <w:rFonts w:asciiTheme="minorHAnsi" w:hAnsiTheme="minorHAnsi"/>
          <w:sz w:val="22"/>
          <w:szCs w:val="22"/>
        </w:rPr>
      </w:pPr>
      <w:r w:rsidRPr="004D2792">
        <w:rPr>
          <w:rFonts w:asciiTheme="minorHAnsi" w:hAnsiTheme="minorHAnsi"/>
          <w:b/>
          <w:sz w:val="22"/>
          <w:szCs w:val="22"/>
        </w:rPr>
        <w:t>Please note:</w:t>
      </w:r>
      <w:r w:rsidRPr="004D2792">
        <w:rPr>
          <w:rFonts w:asciiTheme="minorHAnsi" w:hAnsiTheme="minorHAnsi"/>
          <w:sz w:val="22"/>
          <w:szCs w:val="22"/>
        </w:rPr>
        <w:t xml:space="preserve"> the VBI questions (5D’s and 3 N’s) are still relevant part of the subjective examination.</w:t>
      </w:r>
    </w:p>
    <w:p w14:paraId="5823EFEB" w14:textId="77777777" w:rsidR="00DD35F2" w:rsidRPr="004D2792" w:rsidRDefault="00DD35F2" w:rsidP="00313DE9">
      <w:pPr>
        <w:pStyle w:val="Header"/>
        <w:widowControl w:val="0"/>
        <w:tabs>
          <w:tab w:val="clear" w:pos="4153"/>
          <w:tab w:val="clear" w:pos="8306"/>
          <w:tab w:val="num" w:pos="1440"/>
        </w:tabs>
        <w:jc w:val="both"/>
        <w:rPr>
          <w:rFonts w:asciiTheme="minorHAnsi" w:hAnsiTheme="minorHAnsi"/>
          <w:sz w:val="22"/>
          <w:szCs w:val="22"/>
        </w:rPr>
      </w:pPr>
    </w:p>
    <w:p w14:paraId="75B7E1A9" w14:textId="77777777" w:rsidR="00DD35F2" w:rsidRPr="003B1FE5" w:rsidRDefault="00DD35F2" w:rsidP="00313DE9">
      <w:pPr>
        <w:pStyle w:val="Header"/>
        <w:widowControl w:val="0"/>
        <w:tabs>
          <w:tab w:val="clear" w:pos="4153"/>
          <w:tab w:val="clear" w:pos="8306"/>
          <w:tab w:val="num" w:pos="1440"/>
        </w:tabs>
        <w:jc w:val="both"/>
        <w:rPr>
          <w:rFonts w:asciiTheme="minorHAnsi" w:hAnsiTheme="minorHAnsi"/>
          <w:sz w:val="22"/>
          <w:szCs w:val="22"/>
          <w:u w:val="single"/>
        </w:rPr>
      </w:pPr>
      <w:r w:rsidRPr="003B1FE5">
        <w:rPr>
          <w:rFonts w:asciiTheme="minorHAnsi" w:hAnsiTheme="minorHAnsi"/>
          <w:sz w:val="22"/>
          <w:szCs w:val="22"/>
          <w:u w:val="single"/>
        </w:rPr>
        <w:t xml:space="preserve">1.2 </w:t>
      </w:r>
      <w:r>
        <w:rPr>
          <w:rFonts w:asciiTheme="minorHAnsi" w:hAnsiTheme="minorHAnsi"/>
          <w:sz w:val="22"/>
          <w:szCs w:val="22"/>
          <w:u w:val="single"/>
        </w:rPr>
        <w:t>Upper cervical instability</w:t>
      </w:r>
    </w:p>
    <w:p w14:paraId="2A5901B0" w14:textId="77777777" w:rsidR="00DD35F2" w:rsidRPr="004D2792" w:rsidRDefault="00DD35F2" w:rsidP="00313DE9">
      <w:pPr>
        <w:pStyle w:val="Header"/>
        <w:widowControl w:val="0"/>
        <w:tabs>
          <w:tab w:val="clear" w:pos="4153"/>
          <w:tab w:val="clear" w:pos="8306"/>
          <w:tab w:val="num" w:pos="1440"/>
        </w:tabs>
        <w:jc w:val="both"/>
        <w:rPr>
          <w:rFonts w:asciiTheme="minorHAnsi" w:hAnsiTheme="minorHAnsi"/>
          <w:sz w:val="22"/>
          <w:szCs w:val="22"/>
        </w:rPr>
      </w:pPr>
      <w:r w:rsidRPr="004D2792">
        <w:rPr>
          <w:rFonts w:asciiTheme="minorHAnsi" w:hAnsiTheme="minorHAnsi"/>
          <w:sz w:val="22"/>
          <w:szCs w:val="22"/>
        </w:rPr>
        <w:t>The following risk factors are associated with the potential for bony or ligamentous compromise of the upper cervical spine (Cook et al</w:t>
      </w:r>
      <w:r>
        <w:rPr>
          <w:rFonts w:asciiTheme="minorHAnsi" w:hAnsiTheme="minorHAnsi"/>
          <w:sz w:val="22"/>
          <w:szCs w:val="22"/>
        </w:rPr>
        <w:t>.</w:t>
      </w:r>
      <w:r w:rsidRPr="004D2792">
        <w:rPr>
          <w:rFonts w:asciiTheme="minorHAnsi" w:hAnsiTheme="minorHAnsi"/>
          <w:sz w:val="22"/>
          <w:szCs w:val="22"/>
        </w:rPr>
        <w:t xml:space="preserve"> 2005): </w:t>
      </w:r>
    </w:p>
    <w:p w14:paraId="33A288FE" w14:textId="77777777" w:rsidR="00DD35F2" w:rsidRPr="004D2792" w:rsidRDefault="00DD35F2" w:rsidP="00313DE9">
      <w:pPr>
        <w:pStyle w:val="Header"/>
        <w:widowControl w:val="0"/>
        <w:numPr>
          <w:ilvl w:val="0"/>
          <w:numId w:val="6"/>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History of trauma (e.g. whiplash, rugby neck injury</w:t>
      </w:r>
      <w:r>
        <w:rPr>
          <w:rFonts w:asciiTheme="minorHAnsi" w:hAnsiTheme="minorHAnsi"/>
          <w:sz w:val="22"/>
          <w:szCs w:val="22"/>
        </w:rPr>
        <w:t>, etc.</w:t>
      </w:r>
      <w:r w:rsidRPr="004D2792">
        <w:rPr>
          <w:rFonts w:asciiTheme="minorHAnsi" w:hAnsiTheme="minorHAnsi"/>
          <w:sz w:val="22"/>
          <w:szCs w:val="22"/>
        </w:rPr>
        <w:t>)</w:t>
      </w:r>
    </w:p>
    <w:p w14:paraId="7D6E39C2" w14:textId="77777777" w:rsidR="00DD35F2" w:rsidRPr="004D2792" w:rsidRDefault="00DD35F2" w:rsidP="00313DE9">
      <w:pPr>
        <w:pStyle w:val="Header"/>
        <w:widowControl w:val="0"/>
        <w:numPr>
          <w:ilvl w:val="0"/>
          <w:numId w:val="6"/>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Throat infection</w:t>
      </w:r>
    </w:p>
    <w:p w14:paraId="08AABE3E" w14:textId="77777777" w:rsidR="00DD35F2" w:rsidRPr="004D2792" w:rsidRDefault="00DD35F2" w:rsidP="00313DE9">
      <w:pPr>
        <w:pStyle w:val="Header"/>
        <w:widowControl w:val="0"/>
        <w:numPr>
          <w:ilvl w:val="0"/>
          <w:numId w:val="6"/>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Congenital collagenous compromise (e.g. syndromes: Down’s, Ehlers-Danlos, Grisel, Morquio)</w:t>
      </w:r>
    </w:p>
    <w:p w14:paraId="19510041" w14:textId="77777777" w:rsidR="00DD35F2" w:rsidRPr="004D2792" w:rsidRDefault="00DD35F2" w:rsidP="00313DE9">
      <w:pPr>
        <w:pStyle w:val="Header"/>
        <w:widowControl w:val="0"/>
        <w:numPr>
          <w:ilvl w:val="0"/>
          <w:numId w:val="6"/>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Inflammatory arthritides (e.g. rheumatoid arthritis, ankylosing spondylitis)</w:t>
      </w:r>
    </w:p>
    <w:p w14:paraId="53838C23" w14:textId="77777777" w:rsidR="00DD35F2" w:rsidRPr="004D2792" w:rsidRDefault="00DD35F2" w:rsidP="00313DE9">
      <w:pPr>
        <w:pStyle w:val="Header"/>
        <w:widowControl w:val="0"/>
        <w:numPr>
          <w:ilvl w:val="0"/>
          <w:numId w:val="6"/>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Recent neck/head/dental surgery.</w:t>
      </w:r>
    </w:p>
    <w:p w14:paraId="78A40256" w14:textId="77777777" w:rsidR="00DD35F2" w:rsidRDefault="00DD35F2" w:rsidP="00313DE9">
      <w:pPr>
        <w:pStyle w:val="Header"/>
        <w:widowControl w:val="0"/>
        <w:tabs>
          <w:tab w:val="clear" w:pos="4153"/>
          <w:tab w:val="clear" w:pos="8306"/>
          <w:tab w:val="num" w:pos="1440"/>
        </w:tabs>
        <w:jc w:val="both"/>
        <w:rPr>
          <w:rFonts w:asciiTheme="minorHAnsi" w:hAnsiTheme="minorHAnsi"/>
          <w:sz w:val="22"/>
          <w:szCs w:val="22"/>
        </w:rPr>
      </w:pPr>
    </w:p>
    <w:p w14:paraId="727759D4" w14:textId="77777777" w:rsidR="00313DE9" w:rsidRDefault="00313DE9">
      <w:pPr>
        <w:spacing w:after="160" w:line="259" w:lineRule="auto"/>
        <w:rPr>
          <w:rFonts w:asciiTheme="minorHAnsi" w:hAnsiTheme="minorHAnsi"/>
          <w:sz w:val="22"/>
          <w:szCs w:val="22"/>
          <w:u w:val="single"/>
        </w:rPr>
      </w:pPr>
      <w:r>
        <w:rPr>
          <w:rFonts w:asciiTheme="minorHAnsi" w:hAnsiTheme="minorHAnsi"/>
          <w:sz w:val="22"/>
          <w:szCs w:val="22"/>
          <w:u w:val="single"/>
        </w:rPr>
        <w:br w:type="page"/>
      </w:r>
    </w:p>
    <w:p w14:paraId="56155F55" w14:textId="60F00186" w:rsidR="00DD35F2" w:rsidRPr="00136EA8" w:rsidRDefault="00DD35F2" w:rsidP="00DD35F2">
      <w:pPr>
        <w:pStyle w:val="Header"/>
        <w:widowControl w:val="0"/>
        <w:tabs>
          <w:tab w:val="clear" w:pos="4153"/>
          <w:tab w:val="clear" w:pos="8306"/>
          <w:tab w:val="num" w:pos="1440"/>
        </w:tabs>
        <w:rPr>
          <w:rFonts w:asciiTheme="minorHAnsi" w:hAnsiTheme="minorHAnsi"/>
          <w:sz w:val="22"/>
          <w:szCs w:val="22"/>
          <w:u w:val="single"/>
        </w:rPr>
      </w:pPr>
      <w:r w:rsidRPr="00136EA8">
        <w:rPr>
          <w:rFonts w:asciiTheme="minorHAnsi" w:hAnsiTheme="minorHAnsi"/>
          <w:sz w:val="22"/>
          <w:szCs w:val="22"/>
          <w:u w:val="single"/>
        </w:rPr>
        <w:lastRenderedPageBreak/>
        <w:t>1.3 Decision-making reg</w:t>
      </w:r>
      <w:r>
        <w:rPr>
          <w:rFonts w:asciiTheme="minorHAnsi" w:hAnsiTheme="minorHAnsi"/>
          <w:sz w:val="22"/>
          <w:szCs w:val="22"/>
          <w:u w:val="single"/>
        </w:rPr>
        <w:t>arding the physical examination</w:t>
      </w:r>
    </w:p>
    <w:p w14:paraId="0CF727CF"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r w:rsidRPr="004D2792">
        <w:rPr>
          <w:rFonts w:asciiTheme="minorHAnsi" w:hAnsiTheme="minorHAnsi"/>
          <w:sz w:val="22"/>
          <w:szCs w:val="22"/>
        </w:rPr>
        <w:t xml:space="preserve">Based upon the evaluation and interpretation of the data from the patient history, the physical therapist needs to decide: </w:t>
      </w:r>
    </w:p>
    <w:p w14:paraId="00BEE135" w14:textId="77777777" w:rsidR="00DD35F2" w:rsidRPr="004D2792" w:rsidRDefault="00DD35F2" w:rsidP="00313DE9">
      <w:pPr>
        <w:pStyle w:val="Header"/>
        <w:widowControl w:val="0"/>
        <w:numPr>
          <w:ilvl w:val="0"/>
          <w:numId w:val="7"/>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Are there any precautions to </w:t>
      </w:r>
      <w:r>
        <w:rPr>
          <w:rFonts w:asciiTheme="minorHAnsi" w:hAnsiTheme="minorHAnsi"/>
          <w:sz w:val="22"/>
          <w:szCs w:val="22"/>
        </w:rPr>
        <w:t>Orthopaedic Manual Therapy (</w:t>
      </w:r>
      <w:r w:rsidRPr="004D2792">
        <w:rPr>
          <w:rFonts w:asciiTheme="minorHAnsi" w:hAnsiTheme="minorHAnsi"/>
          <w:sz w:val="22"/>
          <w:szCs w:val="22"/>
        </w:rPr>
        <w:t>OMT</w:t>
      </w:r>
      <w:r>
        <w:rPr>
          <w:rFonts w:asciiTheme="minorHAnsi" w:hAnsiTheme="minorHAnsi"/>
          <w:sz w:val="22"/>
          <w:szCs w:val="22"/>
        </w:rPr>
        <w:t>)</w:t>
      </w:r>
      <w:r w:rsidRPr="004D2792">
        <w:rPr>
          <w:rFonts w:asciiTheme="minorHAnsi" w:hAnsiTheme="minorHAnsi"/>
          <w:sz w:val="22"/>
          <w:szCs w:val="22"/>
        </w:rPr>
        <w:t xml:space="preserve">? </w:t>
      </w:r>
    </w:p>
    <w:p w14:paraId="35D259CA" w14:textId="77777777" w:rsidR="00DD35F2" w:rsidRPr="004D2792" w:rsidRDefault="00DD35F2" w:rsidP="00313DE9">
      <w:pPr>
        <w:pStyle w:val="Header"/>
        <w:widowControl w:val="0"/>
        <w:numPr>
          <w:ilvl w:val="0"/>
          <w:numId w:val="7"/>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Are there any contraindications to OMT?</w:t>
      </w:r>
    </w:p>
    <w:p w14:paraId="61CB6250" w14:textId="77777777" w:rsidR="00DD35F2" w:rsidRPr="004D2792" w:rsidRDefault="00DD35F2" w:rsidP="00313DE9">
      <w:pPr>
        <w:pStyle w:val="Header"/>
        <w:widowControl w:val="0"/>
        <w:numPr>
          <w:ilvl w:val="0"/>
          <w:numId w:val="7"/>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 xml:space="preserve">What physical tests need to be included in the physical examination? </w:t>
      </w:r>
    </w:p>
    <w:p w14:paraId="52878AC0" w14:textId="77777777" w:rsidR="00DD35F2" w:rsidRPr="004D2792" w:rsidRDefault="00DD35F2" w:rsidP="00313DE9">
      <w:pPr>
        <w:pStyle w:val="Header"/>
        <w:widowControl w:val="0"/>
        <w:numPr>
          <w:ilvl w:val="0"/>
          <w:numId w:val="7"/>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What is the priority for these physical tests for this specific patient? This is to inform decisions regarding the order of testing and to determine which tests should be completed at the first visit.</w:t>
      </w:r>
    </w:p>
    <w:p w14:paraId="34E2D2F9" w14:textId="77777777" w:rsidR="00DD35F2" w:rsidRPr="005F6E52" w:rsidRDefault="00DD35F2" w:rsidP="00313DE9">
      <w:pPr>
        <w:pStyle w:val="Header"/>
        <w:widowControl w:val="0"/>
        <w:numPr>
          <w:ilvl w:val="0"/>
          <w:numId w:val="7"/>
        </w:numPr>
        <w:tabs>
          <w:tab w:val="clear" w:pos="4153"/>
          <w:tab w:val="clear" w:pos="8306"/>
        </w:tabs>
        <w:jc w:val="both"/>
        <w:rPr>
          <w:rFonts w:asciiTheme="minorHAnsi" w:hAnsiTheme="minorHAnsi"/>
          <w:sz w:val="22"/>
          <w:szCs w:val="22"/>
        </w:rPr>
      </w:pPr>
      <w:r w:rsidRPr="004D2792">
        <w:rPr>
          <w:rFonts w:asciiTheme="minorHAnsi" w:hAnsiTheme="minorHAnsi"/>
          <w:sz w:val="22"/>
          <w:szCs w:val="22"/>
        </w:rPr>
        <w:t>Do the physical tests need to be adapted for this specific patient?</w:t>
      </w:r>
    </w:p>
    <w:p w14:paraId="7CC47185"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1743FE12" w14:textId="77777777" w:rsidR="00DD35F2" w:rsidRPr="004D2792" w:rsidRDefault="00DD35F2" w:rsidP="00DD35F2">
      <w:pPr>
        <w:pStyle w:val="Header"/>
        <w:widowControl w:val="0"/>
        <w:tabs>
          <w:tab w:val="clear" w:pos="4153"/>
          <w:tab w:val="clear" w:pos="8306"/>
          <w:tab w:val="num" w:pos="1440"/>
        </w:tabs>
        <w:rPr>
          <w:rFonts w:asciiTheme="minorHAnsi" w:hAnsiTheme="minorHAnsi"/>
          <w:b/>
          <w:sz w:val="22"/>
          <w:szCs w:val="22"/>
        </w:rPr>
      </w:pPr>
      <w:r w:rsidRPr="004D2792">
        <w:rPr>
          <w:rFonts w:asciiTheme="minorHAnsi" w:hAnsiTheme="minorHAnsi"/>
          <w:b/>
          <w:sz w:val="22"/>
          <w:szCs w:val="22"/>
        </w:rPr>
        <w:t>Differential diagnosis: Stroke symptoms</w:t>
      </w:r>
    </w:p>
    <w:tbl>
      <w:tblPr>
        <w:tblStyle w:val="TableGrid"/>
        <w:tblW w:w="0" w:type="auto"/>
        <w:tblLook w:val="04A0" w:firstRow="1" w:lastRow="0" w:firstColumn="1" w:lastColumn="0" w:noHBand="0" w:noVBand="1"/>
      </w:tblPr>
      <w:tblGrid>
        <w:gridCol w:w="1260"/>
        <w:gridCol w:w="2279"/>
        <w:gridCol w:w="3118"/>
        <w:gridCol w:w="2254"/>
      </w:tblGrid>
      <w:tr w:rsidR="00313DE9" w:rsidRPr="00313DE9" w14:paraId="74DA823A" w14:textId="77777777" w:rsidTr="00934949">
        <w:tc>
          <w:tcPr>
            <w:tcW w:w="1260" w:type="dxa"/>
          </w:tcPr>
          <w:p w14:paraId="23BB5FC4" w14:textId="77777777" w:rsidR="00313DE9" w:rsidRPr="00313DE9" w:rsidRDefault="00313DE9" w:rsidP="00934949">
            <w:pPr>
              <w:rPr>
                <w:rFonts w:asciiTheme="minorHAnsi" w:hAnsiTheme="minorHAnsi" w:cstheme="minorHAnsi"/>
                <w:b/>
              </w:rPr>
            </w:pPr>
          </w:p>
        </w:tc>
        <w:tc>
          <w:tcPr>
            <w:tcW w:w="2279" w:type="dxa"/>
          </w:tcPr>
          <w:p w14:paraId="6655B705" w14:textId="77777777" w:rsidR="00313DE9" w:rsidRPr="00313DE9" w:rsidRDefault="00313DE9" w:rsidP="00934949">
            <w:pPr>
              <w:rPr>
                <w:rFonts w:asciiTheme="minorHAnsi" w:hAnsiTheme="minorHAnsi" w:cstheme="minorHAnsi"/>
                <w:b/>
              </w:rPr>
            </w:pPr>
            <w:r w:rsidRPr="00313DE9">
              <w:rPr>
                <w:rFonts w:asciiTheme="minorHAnsi" w:hAnsiTheme="minorHAnsi" w:cstheme="minorHAnsi"/>
                <w:b/>
              </w:rPr>
              <w:t>Internal carotid artery disease</w:t>
            </w:r>
          </w:p>
        </w:tc>
        <w:tc>
          <w:tcPr>
            <w:tcW w:w="3118" w:type="dxa"/>
          </w:tcPr>
          <w:p w14:paraId="015B2C56" w14:textId="77777777" w:rsidR="00313DE9" w:rsidRPr="00313DE9" w:rsidRDefault="00313DE9" w:rsidP="00934949">
            <w:pPr>
              <w:rPr>
                <w:rFonts w:asciiTheme="minorHAnsi" w:hAnsiTheme="minorHAnsi" w:cstheme="minorHAnsi"/>
                <w:b/>
              </w:rPr>
            </w:pPr>
            <w:r w:rsidRPr="00313DE9">
              <w:rPr>
                <w:rFonts w:asciiTheme="minorHAnsi" w:hAnsiTheme="minorHAnsi" w:cstheme="minorHAnsi"/>
                <w:b/>
              </w:rPr>
              <w:t>Vertebrobasilar artery disease</w:t>
            </w:r>
          </w:p>
        </w:tc>
        <w:tc>
          <w:tcPr>
            <w:tcW w:w="2254" w:type="dxa"/>
          </w:tcPr>
          <w:p w14:paraId="21C099D7" w14:textId="77777777" w:rsidR="00313DE9" w:rsidRPr="00313DE9" w:rsidRDefault="00313DE9" w:rsidP="00934949">
            <w:pPr>
              <w:rPr>
                <w:rFonts w:asciiTheme="minorHAnsi" w:hAnsiTheme="minorHAnsi" w:cstheme="minorHAnsi"/>
                <w:b/>
              </w:rPr>
            </w:pPr>
            <w:r w:rsidRPr="00313DE9">
              <w:rPr>
                <w:rFonts w:asciiTheme="minorHAnsi" w:hAnsiTheme="minorHAnsi" w:cstheme="minorHAnsi"/>
                <w:b/>
              </w:rPr>
              <w:t>Upper cervical instability</w:t>
            </w:r>
          </w:p>
        </w:tc>
      </w:tr>
      <w:tr w:rsidR="00313DE9" w:rsidRPr="00DD35F2" w14:paraId="1E7FE006" w14:textId="77777777" w:rsidTr="00934949">
        <w:tc>
          <w:tcPr>
            <w:tcW w:w="1260" w:type="dxa"/>
          </w:tcPr>
          <w:p w14:paraId="7DC2EE74" w14:textId="77777777" w:rsidR="00313DE9" w:rsidRPr="00DD35F2" w:rsidRDefault="00313DE9" w:rsidP="00934949">
            <w:pPr>
              <w:rPr>
                <w:rFonts w:asciiTheme="minorHAnsi" w:hAnsiTheme="minorHAnsi" w:cstheme="minorHAnsi"/>
              </w:rPr>
            </w:pPr>
            <w:r>
              <w:rPr>
                <w:rFonts w:asciiTheme="minorHAnsi" w:hAnsiTheme="minorHAnsi" w:cstheme="minorHAnsi"/>
              </w:rPr>
              <w:t>Early presentation</w:t>
            </w:r>
          </w:p>
        </w:tc>
        <w:tc>
          <w:tcPr>
            <w:tcW w:w="2279" w:type="dxa"/>
          </w:tcPr>
          <w:p w14:paraId="3A42D8A5" w14:textId="77777777" w:rsidR="00313DE9" w:rsidRPr="00DD35F2" w:rsidRDefault="00313DE9" w:rsidP="00934949">
            <w:pPr>
              <w:rPr>
                <w:rFonts w:asciiTheme="minorHAnsi" w:hAnsiTheme="minorHAnsi" w:cstheme="minorHAnsi"/>
              </w:rPr>
            </w:pPr>
            <w:r>
              <w:rPr>
                <w:rFonts w:asciiTheme="minorHAnsi" w:hAnsiTheme="minorHAnsi" w:cstheme="minorHAnsi"/>
              </w:rPr>
              <w:t>Mid-upper cervical pain, pain around ear and jaw (</w:t>
            </w:r>
            <w:proofErr w:type="spellStart"/>
            <w:r>
              <w:rPr>
                <w:rFonts w:asciiTheme="minorHAnsi" w:hAnsiTheme="minorHAnsi" w:cstheme="minorHAnsi"/>
              </w:rPr>
              <w:t>carotidynia</w:t>
            </w:r>
            <w:proofErr w:type="spellEnd"/>
            <w:r>
              <w:rPr>
                <w:rFonts w:asciiTheme="minorHAnsi" w:hAnsiTheme="minorHAnsi" w:cstheme="minorHAnsi"/>
              </w:rPr>
              <w:t>), head pain (</w:t>
            </w:r>
            <w:proofErr w:type="spellStart"/>
            <w:r>
              <w:rPr>
                <w:rFonts w:asciiTheme="minorHAnsi" w:hAnsiTheme="minorHAnsi" w:cstheme="minorHAnsi"/>
              </w:rPr>
              <w:t>fronto</w:t>
            </w:r>
            <w:proofErr w:type="spellEnd"/>
            <w:r>
              <w:rPr>
                <w:rFonts w:asciiTheme="minorHAnsi" w:hAnsiTheme="minorHAnsi" w:cstheme="minorHAnsi"/>
              </w:rPr>
              <w:t>-temporo-parietal); Ptosis; Lower cranial nerve dysfunction (VIII-XII); Acute onset of pain described as “unlike any other”.</w:t>
            </w:r>
          </w:p>
        </w:tc>
        <w:tc>
          <w:tcPr>
            <w:tcW w:w="3118" w:type="dxa"/>
          </w:tcPr>
          <w:p w14:paraId="317DF933" w14:textId="77777777" w:rsidR="00313DE9" w:rsidRPr="00DD35F2" w:rsidRDefault="00313DE9" w:rsidP="00934949">
            <w:pPr>
              <w:rPr>
                <w:rFonts w:asciiTheme="minorHAnsi" w:hAnsiTheme="minorHAnsi" w:cstheme="minorHAnsi"/>
              </w:rPr>
            </w:pPr>
            <w:r>
              <w:rPr>
                <w:rFonts w:asciiTheme="minorHAnsi" w:hAnsiTheme="minorHAnsi" w:cstheme="minorHAnsi"/>
              </w:rPr>
              <w:t>Mid-upper cervical pain; occipital headache; Acute onset of pain described as “unlike any other”.</w:t>
            </w:r>
          </w:p>
        </w:tc>
        <w:tc>
          <w:tcPr>
            <w:tcW w:w="2254" w:type="dxa"/>
          </w:tcPr>
          <w:p w14:paraId="48CDE967" w14:textId="77777777" w:rsidR="00313DE9" w:rsidRPr="00DD35F2" w:rsidRDefault="00313DE9" w:rsidP="00934949">
            <w:pPr>
              <w:rPr>
                <w:rFonts w:asciiTheme="minorHAnsi" w:hAnsiTheme="minorHAnsi" w:cstheme="minorHAnsi"/>
              </w:rPr>
            </w:pPr>
            <w:r>
              <w:rPr>
                <w:rFonts w:asciiTheme="minorHAnsi" w:hAnsiTheme="minorHAnsi" w:cstheme="minorHAnsi"/>
              </w:rPr>
              <w:t>Neck and head pain; Feeling of instability; Cervical muscle hyperactivity; Constant support needed for head; Worsening symptoms.</w:t>
            </w:r>
          </w:p>
        </w:tc>
      </w:tr>
      <w:tr w:rsidR="00313DE9" w:rsidRPr="00DD35F2" w14:paraId="03C017A1" w14:textId="77777777" w:rsidTr="00934949">
        <w:tc>
          <w:tcPr>
            <w:tcW w:w="1260" w:type="dxa"/>
          </w:tcPr>
          <w:p w14:paraId="2AC20439" w14:textId="77777777" w:rsidR="00313DE9" w:rsidRPr="00DD35F2" w:rsidRDefault="00313DE9" w:rsidP="00934949">
            <w:pPr>
              <w:rPr>
                <w:rFonts w:asciiTheme="minorHAnsi" w:hAnsiTheme="minorHAnsi" w:cstheme="minorHAnsi"/>
              </w:rPr>
            </w:pPr>
            <w:r>
              <w:rPr>
                <w:rFonts w:asciiTheme="minorHAnsi" w:hAnsiTheme="minorHAnsi" w:cstheme="minorHAnsi"/>
              </w:rPr>
              <w:t>Late presentation</w:t>
            </w:r>
          </w:p>
        </w:tc>
        <w:tc>
          <w:tcPr>
            <w:tcW w:w="2279" w:type="dxa"/>
          </w:tcPr>
          <w:p w14:paraId="7028C177" w14:textId="77777777" w:rsidR="00313DE9" w:rsidRPr="00DD35F2" w:rsidRDefault="00313DE9" w:rsidP="00934949">
            <w:pPr>
              <w:rPr>
                <w:rFonts w:asciiTheme="minorHAnsi" w:hAnsiTheme="minorHAnsi" w:cstheme="minorHAnsi"/>
              </w:rPr>
            </w:pPr>
            <w:r>
              <w:rPr>
                <w:rFonts w:asciiTheme="minorHAnsi" w:hAnsiTheme="minorHAnsi" w:cstheme="minorHAnsi"/>
              </w:rPr>
              <w:t xml:space="preserve">Transient retinal dysfunction (scintillating scotoma, amaurosis fugax); Transient ischaemic attack; Cerebrovascular accident. </w:t>
            </w:r>
          </w:p>
        </w:tc>
        <w:tc>
          <w:tcPr>
            <w:tcW w:w="3118" w:type="dxa"/>
          </w:tcPr>
          <w:p w14:paraId="6692EC5D" w14:textId="77777777" w:rsidR="00313DE9" w:rsidRPr="00DD35F2" w:rsidRDefault="00313DE9" w:rsidP="00934949">
            <w:pPr>
              <w:rPr>
                <w:rFonts w:asciiTheme="minorHAnsi" w:hAnsiTheme="minorHAnsi" w:cstheme="minorHAnsi"/>
              </w:rPr>
            </w:pPr>
            <w:r>
              <w:rPr>
                <w:rFonts w:asciiTheme="minorHAnsi" w:hAnsiTheme="minorHAnsi" w:cstheme="minorHAnsi"/>
              </w:rPr>
              <w:t xml:space="preserve">Hindbrain transient ischaemic attack (dizziness, diplopia, dysarthria, dysphagia, drop attacks, nausea, nystagmus, facial numbness, ataxia, vomiting, hoarseness, loss of short term memory, vagueness, hypotonia/limb weakness (arm or leg), anhidrosis (lack of facial sweating), hearing disturbances, malaise, perioral dysesthesia, photophobia, papillary changes, clumsiness and agitation); Cranial nerve dysfunction; Hindbrain stroke (e.g. Wallenberg’s syndrome, locked-in syndrome). </w:t>
            </w:r>
          </w:p>
        </w:tc>
        <w:tc>
          <w:tcPr>
            <w:tcW w:w="2254" w:type="dxa"/>
          </w:tcPr>
          <w:p w14:paraId="2D82889F" w14:textId="77777777" w:rsidR="00313DE9" w:rsidRPr="00DD35F2" w:rsidRDefault="00313DE9" w:rsidP="00934949">
            <w:pPr>
              <w:rPr>
                <w:rFonts w:asciiTheme="minorHAnsi" w:hAnsiTheme="minorHAnsi" w:cstheme="minorHAnsi"/>
              </w:rPr>
            </w:pPr>
            <w:r>
              <w:rPr>
                <w:rFonts w:asciiTheme="minorHAnsi" w:hAnsiTheme="minorHAnsi" w:cstheme="minorHAnsi"/>
              </w:rPr>
              <w:t xml:space="preserve">Bilateral foot and hand </w:t>
            </w:r>
            <w:r w:rsidRPr="00313DE9">
              <w:rPr>
                <w:rFonts w:asciiTheme="minorHAnsi" w:hAnsiTheme="minorHAnsi" w:cstheme="minorHAnsi"/>
              </w:rPr>
              <w:t>dysesthesia</w:t>
            </w:r>
            <w:r>
              <w:rPr>
                <w:rFonts w:asciiTheme="minorHAnsi" w:hAnsiTheme="minorHAnsi" w:cstheme="minorHAnsi"/>
              </w:rPr>
              <w:t xml:space="preserve">; Feeling of lump in throat; Metallic taste in mouth (VII); Arm and leg weakness; Lack of coordination bilaterally. </w:t>
            </w:r>
          </w:p>
        </w:tc>
      </w:tr>
    </w:tbl>
    <w:p w14:paraId="2C63F531" w14:textId="77777777" w:rsidR="00DD35F2" w:rsidRDefault="00DD35F2" w:rsidP="00DD35F2">
      <w:pPr>
        <w:pStyle w:val="Header"/>
        <w:widowControl w:val="0"/>
        <w:tabs>
          <w:tab w:val="clear" w:pos="4153"/>
          <w:tab w:val="clear" w:pos="8306"/>
          <w:tab w:val="num" w:pos="1440"/>
        </w:tabs>
        <w:rPr>
          <w:rFonts w:asciiTheme="minorHAnsi" w:hAnsiTheme="minorHAnsi"/>
          <w:b/>
          <w:sz w:val="22"/>
          <w:szCs w:val="22"/>
          <w:u w:val="single"/>
        </w:rPr>
      </w:pPr>
    </w:p>
    <w:p w14:paraId="11C21A97" w14:textId="77777777" w:rsidR="00DD35F2" w:rsidRDefault="00DD35F2" w:rsidP="00DD35F2">
      <w:pPr>
        <w:pStyle w:val="Header"/>
        <w:widowControl w:val="0"/>
        <w:tabs>
          <w:tab w:val="clear" w:pos="4153"/>
          <w:tab w:val="clear" w:pos="8306"/>
          <w:tab w:val="num" w:pos="1440"/>
        </w:tabs>
        <w:rPr>
          <w:rFonts w:asciiTheme="minorHAnsi" w:hAnsiTheme="minorHAnsi"/>
          <w:b/>
          <w:sz w:val="22"/>
          <w:szCs w:val="22"/>
          <w:u w:val="single"/>
        </w:rPr>
      </w:pPr>
      <w:r>
        <w:rPr>
          <w:rFonts w:asciiTheme="minorHAnsi" w:hAnsiTheme="minorHAnsi"/>
          <w:b/>
          <w:sz w:val="22"/>
          <w:szCs w:val="22"/>
          <w:u w:val="single"/>
        </w:rPr>
        <w:t xml:space="preserve">2. </w:t>
      </w:r>
      <w:r w:rsidRPr="009112C2">
        <w:rPr>
          <w:rFonts w:asciiTheme="minorHAnsi" w:hAnsiTheme="minorHAnsi"/>
          <w:b/>
          <w:sz w:val="22"/>
          <w:szCs w:val="22"/>
          <w:u w:val="single"/>
        </w:rPr>
        <w:t>Physical testing (Objective assessment)</w:t>
      </w:r>
    </w:p>
    <w:p w14:paraId="5E82D8C3" w14:textId="77777777" w:rsidR="00DD35F2" w:rsidRPr="005F6E52" w:rsidRDefault="00DD35F2" w:rsidP="00DD35F2">
      <w:pPr>
        <w:pStyle w:val="Header"/>
        <w:widowControl w:val="0"/>
        <w:tabs>
          <w:tab w:val="clear" w:pos="4153"/>
          <w:tab w:val="clear" w:pos="8306"/>
          <w:tab w:val="num" w:pos="1440"/>
        </w:tabs>
        <w:rPr>
          <w:rFonts w:asciiTheme="minorHAnsi" w:hAnsiTheme="minorHAnsi"/>
          <w:b/>
          <w:sz w:val="22"/>
          <w:szCs w:val="22"/>
        </w:rPr>
      </w:pPr>
    </w:p>
    <w:p w14:paraId="5CC29CBC" w14:textId="77777777" w:rsidR="00DD35F2" w:rsidRPr="005F6E52" w:rsidRDefault="00DD35F2" w:rsidP="00DD35F2">
      <w:pPr>
        <w:pStyle w:val="Header"/>
        <w:widowControl w:val="0"/>
        <w:tabs>
          <w:tab w:val="clear" w:pos="4153"/>
          <w:tab w:val="clear" w:pos="8306"/>
          <w:tab w:val="num" w:pos="1440"/>
        </w:tabs>
        <w:rPr>
          <w:rFonts w:asciiTheme="minorHAnsi" w:hAnsiTheme="minorHAnsi"/>
          <w:sz w:val="22"/>
          <w:szCs w:val="22"/>
          <w:u w:val="single"/>
        </w:rPr>
      </w:pPr>
      <w:r w:rsidRPr="005F6E52">
        <w:rPr>
          <w:rFonts w:asciiTheme="minorHAnsi" w:hAnsiTheme="minorHAnsi"/>
          <w:sz w:val="22"/>
          <w:szCs w:val="22"/>
          <w:u w:val="single"/>
        </w:rPr>
        <w:t>2.1 Blood pressure</w:t>
      </w:r>
    </w:p>
    <w:p w14:paraId="3103C7B7"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r w:rsidRPr="004D2792">
        <w:rPr>
          <w:rFonts w:asciiTheme="minorHAnsi" w:hAnsiTheme="minorHAnsi"/>
          <w:sz w:val="22"/>
          <w:szCs w:val="22"/>
        </w:rPr>
        <w:t>Hypertension is considered a risk factor for carotid and vertebral artery disease. More acutely, an increase in blood pressure may be related to acute arterial trauma, including of the internal carotid and vertebral arteries (Arnold and Bousser, 2006). Evaluation of blood pressure as part of the physical examination may therefore be a valuable test to inform clinical reasoning. Resting blood pressure should be taken in either sitting or lying, with the arm (brachial pulse site) being at the same level (in relation to gravity) as the heart / 4th intercostal space. A validated monitoring unit should be used ensuring the correct cuff-size. The cuff should be fitted so that two adult fingers can be inserted at the top and bottom when deflated. The patient should remain static in a calm environment for at least five minutes prior to testing. Repeat measurements can be taken leaving two minutes between each measurement. Normotensive range (non-diabetic adult) is systolic 120-140mmHg / 70-90mmHg diastolic (Mancia et al</w:t>
      </w:r>
      <w:r>
        <w:rPr>
          <w:rFonts w:asciiTheme="minorHAnsi" w:hAnsiTheme="minorHAnsi"/>
          <w:sz w:val="22"/>
          <w:szCs w:val="22"/>
        </w:rPr>
        <w:t>.</w:t>
      </w:r>
      <w:r w:rsidRPr="004D2792">
        <w:rPr>
          <w:rFonts w:asciiTheme="minorHAnsi" w:hAnsiTheme="minorHAnsi"/>
          <w:sz w:val="22"/>
          <w:szCs w:val="22"/>
        </w:rPr>
        <w:t xml:space="preserve">, 2007). Although hypertension is an undoubted </w:t>
      </w:r>
      <w:r w:rsidRPr="004D2792">
        <w:rPr>
          <w:rFonts w:asciiTheme="minorHAnsi" w:hAnsiTheme="minorHAnsi"/>
          <w:sz w:val="22"/>
          <w:szCs w:val="22"/>
        </w:rPr>
        <w:lastRenderedPageBreak/>
        <w:t xml:space="preserve">strong predictor of cardiovascular disease, interpretation of readings must be in the context of other findings, and sound clinical reasoning. </w:t>
      </w:r>
    </w:p>
    <w:p w14:paraId="79119523"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27F9F880" w14:textId="77777777" w:rsidR="00DD35F2" w:rsidRPr="005F6E52" w:rsidRDefault="00DD35F2" w:rsidP="00DD35F2">
      <w:pPr>
        <w:pStyle w:val="Header"/>
        <w:widowControl w:val="0"/>
        <w:tabs>
          <w:tab w:val="clear" w:pos="4153"/>
          <w:tab w:val="clear" w:pos="8306"/>
          <w:tab w:val="num" w:pos="1440"/>
        </w:tabs>
        <w:rPr>
          <w:rFonts w:asciiTheme="minorHAnsi" w:hAnsiTheme="minorHAnsi"/>
          <w:sz w:val="22"/>
          <w:szCs w:val="22"/>
          <w:u w:val="single"/>
        </w:rPr>
      </w:pPr>
      <w:r w:rsidRPr="005F6E52">
        <w:rPr>
          <w:rFonts w:asciiTheme="minorHAnsi" w:hAnsiTheme="minorHAnsi"/>
          <w:sz w:val="22"/>
          <w:szCs w:val="22"/>
          <w:u w:val="single"/>
        </w:rPr>
        <w:t>2.2 C</w:t>
      </w:r>
      <w:r>
        <w:rPr>
          <w:rFonts w:asciiTheme="minorHAnsi" w:hAnsiTheme="minorHAnsi"/>
          <w:sz w:val="22"/>
          <w:szCs w:val="22"/>
          <w:u w:val="single"/>
        </w:rPr>
        <w:t>raniovertebral ligament testing</w:t>
      </w:r>
    </w:p>
    <w:p w14:paraId="3BBF1D1E"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r w:rsidRPr="004D2792">
        <w:rPr>
          <w:rFonts w:asciiTheme="minorHAnsi" w:hAnsiTheme="minorHAnsi"/>
          <w:sz w:val="22"/>
          <w:szCs w:val="22"/>
        </w:rPr>
        <w:t>Instability of the craniovertebral ligaments could compromise the vascular and neurological structures in the upper cervical region. Mechanisms for causing symptoms and signs include: C1-C2 instability causing abnormal pressure on cervical nerves, vertebral artery compromise (Savitz and Caplan, 2005; Thanvi et al</w:t>
      </w:r>
      <w:r>
        <w:rPr>
          <w:rFonts w:asciiTheme="minorHAnsi" w:hAnsiTheme="minorHAnsi"/>
          <w:sz w:val="22"/>
          <w:szCs w:val="22"/>
        </w:rPr>
        <w:t>.</w:t>
      </w:r>
      <w:r w:rsidRPr="004D2792">
        <w:rPr>
          <w:rFonts w:asciiTheme="minorHAnsi" w:hAnsiTheme="minorHAnsi"/>
          <w:sz w:val="22"/>
          <w:szCs w:val="22"/>
        </w:rPr>
        <w:t xml:space="preserve">, 2005), and </w:t>
      </w:r>
      <w:r>
        <w:rPr>
          <w:rFonts w:asciiTheme="minorHAnsi" w:hAnsiTheme="minorHAnsi"/>
          <w:sz w:val="22"/>
          <w:szCs w:val="22"/>
        </w:rPr>
        <w:t xml:space="preserve">spinal </w:t>
      </w:r>
      <w:r w:rsidRPr="004D2792">
        <w:rPr>
          <w:rFonts w:asciiTheme="minorHAnsi" w:hAnsiTheme="minorHAnsi"/>
          <w:sz w:val="22"/>
          <w:szCs w:val="22"/>
        </w:rPr>
        <w:t>cord compression (Bernhardt et al</w:t>
      </w:r>
      <w:r>
        <w:rPr>
          <w:rFonts w:asciiTheme="minorHAnsi" w:hAnsiTheme="minorHAnsi"/>
          <w:sz w:val="22"/>
          <w:szCs w:val="22"/>
        </w:rPr>
        <w:t>.</w:t>
      </w:r>
      <w:r w:rsidRPr="004D2792">
        <w:rPr>
          <w:rFonts w:asciiTheme="minorHAnsi" w:hAnsiTheme="minorHAnsi"/>
          <w:sz w:val="22"/>
          <w:szCs w:val="22"/>
        </w:rPr>
        <w:t>, 1993; Rao, 2002). Whether to test for instability is therefore an important decision when suspecting carotid and</w:t>
      </w:r>
      <w:r>
        <w:rPr>
          <w:rFonts w:asciiTheme="minorHAnsi" w:hAnsiTheme="minorHAnsi"/>
          <w:sz w:val="22"/>
          <w:szCs w:val="22"/>
        </w:rPr>
        <w:t>/or</w:t>
      </w:r>
      <w:r w:rsidRPr="004D2792">
        <w:rPr>
          <w:rFonts w:asciiTheme="minorHAnsi" w:hAnsiTheme="minorHAnsi"/>
          <w:sz w:val="22"/>
          <w:szCs w:val="22"/>
        </w:rPr>
        <w:t xml:space="preserve"> vertebral artery disease</w:t>
      </w:r>
      <w:r>
        <w:rPr>
          <w:rFonts w:asciiTheme="minorHAnsi" w:hAnsiTheme="minorHAnsi"/>
          <w:sz w:val="22"/>
          <w:szCs w:val="22"/>
        </w:rPr>
        <w:t>.</w:t>
      </w:r>
      <w:r w:rsidRPr="004D2792">
        <w:rPr>
          <w:rFonts w:asciiTheme="minorHAnsi" w:hAnsiTheme="minorHAnsi"/>
          <w:sz w:val="22"/>
          <w:szCs w:val="22"/>
        </w:rPr>
        <w:t xml:space="preserve"> The presence of </w:t>
      </w:r>
      <w:r>
        <w:rPr>
          <w:rFonts w:asciiTheme="minorHAnsi" w:hAnsiTheme="minorHAnsi"/>
          <w:sz w:val="22"/>
          <w:szCs w:val="22"/>
        </w:rPr>
        <w:t xml:space="preserve">spinal or peripheral joint </w:t>
      </w:r>
      <w:r w:rsidRPr="004D2792">
        <w:rPr>
          <w:rFonts w:asciiTheme="minorHAnsi" w:hAnsiTheme="minorHAnsi"/>
          <w:sz w:val="22"/>
          <w:szCs w:val="22"/>
        </w:rPr>
        <w:t>instability is a clear contraindication to the use of OMT techniques (Gibbons and Tehan, 2006).</w:t>
      </w:r>
    </w:p>
    <w:p w14:paraId="2DCCE0D7"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27DA62E3" w14:textId="77777777" w:rsidR="00DD35F2" w:rsidRPr="005F6E52" w:rsidRDefault="00DD35F2" w:rsidP="00DD35F2">
      <w:pPr>
        <w:pStyle w:val="Header"/>
        <w:widowControl w:val="0"/>
        <w:tabs>
          <w:tab w:val="clear" w:pos="4153"/>
          <w:tab w:val="clear" w:pos="8306"/>
          <w:tab w:val="num" w:pos="1440"/>
        </w:tabs>
        <w:rPr>
          <w:rFonts w:asciiTheme="minorHAnsi" w:hAnsiTheme="minorHAnsi"/>
          <w:i/>
          <w:sz w:val="22"/>
          <w:szCs w:val="22"/>
        </w:rPr>
      </w:pPr>
      <w:r w:rsidRPr="005F6E52">
        <w:rPr>
          <w:rFonts w:asciiTheme="minorHAnsi" w:hAnsiTheme="minorHAnsi"/>
          <w:i/>
          <w:sz w:val="22"/>
          <w:szCs w:val="22"/>
        </w:rPr>
        <w:t xml:space="preserve">2.2.1 Symptoms and signs of </w:t>
      </w:r>
      <w:r>
        <w:rPr>
          <w:rFonts w:asciiTheme="minorHAnsi" w:hAnsiTheme="minorHAnsi"/>
          <w:i/>
          <w:sz w:val="22"/>
          <w:szCs w:val="22"/>
        </w:rPr>
        <w:t xml:space="preserve">cervical </w:t>
      </w:r>
      <w:r w:rsidRPr="005F6E52">
        <w:rPr>
          <w:rFonts w:asciiTheme="minorHAnsi" w:hAnsiTheme="minorHAnsi"/>
          <w:i/>
          <w:sz w:val="22"/>
          <w:szCs w:val="22"/>
        </w:rPr>
        <w:t>instability in</w:t>
      </w:r>
      <w:r>
        <w:rPr>
          <w:rFonts w:asciiTheme="minorHAnsi" w:hAnsiTheme="minorHAnsi"/>
          <w:i/>
          <w:sz w:val="22"/>
          <w:szCs w:val="22"/>
        </w:rPr>
        <w:t>clude (Gibbons and Tehan, 2005)</w:t>
      </w:r>
    </w:p>
    <w:p w14:paraId="00105C96" w14:textId="77777777" w:rsidR="00DD35F2" w:rsidRPr="004D2792" w:rsidRDefault="00DD35F2" w:rsidP="00DD35F2">
      <w:pPr>
        <w:pStyle w:val="Header"/>
        <w:widowControl w:val="0"/>
        <w:numPr>
          <w:ilvl w:val="0"/>
          <w:numId w:val="8"/>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Facial paraesthesia secondary to dysfunction of the connections of the hypoglossal nerve, as well as the ventral ramus (neck-tongue paraesthesia) and the dorsal ramus (facial numbness) of C2</w:t>
      </w:r>
    </w:p>
    <w:p w14:paraId="0EBC89DD" w14:textId="77777777" w:rsidR="00DD35F2" w:rsidRPr="004D2792" w:rsidRDefault="00DD35F2" w:rsidP="00DD35F2">
      <w:pPr>
        <w:pStyle w:val="Header"/>
        <w:widowControl w:val="0"/>
        <w:numPr>
          <w:ilvl w:val="0"/>
          <w:numId w:val="8"/>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Drop attacks</w:t>
      </w:r>
    </w:p>
    <w:p w14:paraId="72018C92" w14:textId="77777777" w:rsidR="00DD35F2" w:rsidRPr="004D2792" w:rsidRDefault="00DD35F2" w:rsidP="00DD35F2">
      <w:pPr>
        <w:pStyle w:val="Header"/>
        <w:widowControl w:val="0"/>
        <w:numPr>
          <w:ilvl w:val="0"/>
          <w:numId w:val="8"/>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 xml:space="preserve">Bilateral or quadrilateral paraesthesia or motor deficits including weakness / incoordination </w:t>
      </w:r>
    </w:p>
    <w:p w14:paraId="407AA7C2" w14:textId="77777777" w:rsidR="00DD35F2" w:rsidRPr="004D2792" w:rsidRDefault="00DD35F2" w:rsidP="00DD35F2">
      <w:pPr>
        <w:pStyle w:val="Header"/>
        <w:widowControl w:val="0"/>
        <w:numPr>
          <w:ilvl w:val="0"/>
          <w:numId w:val="8"/>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Nystagmus</w:t>
      </w:r>
    </w:p>
    <w:p w14:paraId="3C828256" w14:textId="77777777" w:rsidR="00DD35F2" w:rsidRPr="004D2792" w:rsidRDefault="00DD35F2" w:rsidP="00DD35F2">
      <w:pPr>
        <w:pStyle w:val="Header"/>
        <w:widowControl w:val="0"/>
        <w:numPr>
          <w:ilvl w:val="0"/>
          <w:numId w:val="8"/>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Nausea</w:t>
      </w:r>
      <w:r>
        <w:rPr>
          <w:rFonts w:asciiTheme="minorHAnsi" w:hAnsiTheme="minorHAnsi"/>
          <w:sz w:val="22"/>
          <w:szCs w:val="22"/>
        </w:rPr>
        <w:t>.</w:t>
      </w:r>
    </w:p>
    <w:p w14:paraId="75CEF44E"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1F7F5717" w14:textId="77777777" w:rsidR="00DD35F2" w:rsidRPr="003E2B1E" w:rsidRDefault="00DD35F2" w:rsidP="00DD35F2">
      <w:pPr>
        <w:pStyle w:val="Header"/>
        <w:widowControl w:val="0"/>
        <w:tabs>
          <w:tab w:val="clear" w:pos="4153"/>
          <w:tab w:val="clear" w:pos="8306"/>
          <w:tab w:val="num" w:pos="1440"/>
        </w:tabs>
        <w:rPr>
          <w:rFonts w:asciiTheme="minorHAnsi" w:hAnsiTheme="minorHAnsi"/>
          <w:sz w:val="22"/>
          <w:szCs w:val="22"/>
          <w:u w:val="single"/>
        </w:rPr>
      </w:pPr>
      <w:r w:rsidRPr="003E2B1E">
        <w:rPr>
          <w:rFonts w:asciiTheme="minorHAnsi" w:hAnsiTheme="minorHAnsi"/>
          <w:sz w:val="22"/>
          <w:szCs w:val="22"/>
          <w:u w:val="single"/>
        </w:rPr>
        <w:t>2.3 Cranial nerve testing</w:t>
      </w:r>
    </w:p>
    <w:p w14:paraId="733CBF7B" w14:textId="77777777" w:rsidR="00DD35F2" w:rsidRPr="004D2792"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GB"/>
        </w:rPr>
        <w:t>Examination of the peripheral nerves, cranial nerves, and for an Upper Motor Neurone lesion will assist in evaluating the potential for neurovascular conditions (Fuller, 2008)</w:t>
      </w:r>
    </w:p>
    <w:p w14:paraId="7C8ABF60" w14:textId="77777777" w:rsidR="00DD35F2" w:rsidRPr="00B14F53" w:rsidRDefault="00DD35F2" w:rsidP="00DD35F2">
      <w:pPr>
        <w:pStyle w:val="Header"/>
        <w:widowControl w:val="0"/>
        <w:numPr>
          <w:ilvl w:val="0"/>
          <w:numId w:val="3"/>
        </w:numPr>
        <w:tabs>
          <w:tab w:val="num" w:pos="1440"/>
        </w:tabs>
        <w:rPr>
          <w:rStyle w:val="Hyperlink"/>
          <w:rFonts w:asciiTheme="minorHAnsi" w:hAnsiTheme="minorHAnsi"/>
          <w:color w:val="auto"/>
          <w:sz w:val="22"/>
          <w:szCs w:val="22"/>
          <w:u w:val="none"/>
          <w:lang w:val="en-NZ"/>
        </w:rPr>
      </w:pPr>
      <w:r w:rsidRPr="004D2792">
        <w:rPr>
          <w:rFonts w:asciiTheme="minorHAnsi" w:hAnsiTheme="minorHAnsi"/>
          <w:sz w:val="22"/>
          <w:szCs w:val="22"/>
          <w:lang w:val="en-NZ"/>
        </w:rPr>
        <w:t xml:space="preserve"> See this link for a comprehensive assessment. </w:t>
      </w:r>
      <w:hyperlink r:id="rId9" w:history="1">
        <w:r w:rsidRPr="004D2792">
          <w:rPr>
            <w:rStyle w:val="Hyperlink"/>
            <w:rFonts w:asciiTheme="minorHAnsi" w:hAnsiTheme="minorHAnsi"/>
            <w:sz w:val="22"/>
            <w:szCs w:val="22"/>
            <w:lang w:val="en-NZ"/>
          </w:rPr>
          <w:t>http://www.neuroexam.com/neuroexam/content.php?p=15</w:t>
        </w:r>
      </w:hyperlink>
    </w:p>
    <w:p w14:paraId="71DCC314" w14:textId="77777777" w:rsidR="00DD35F2" w:rsidRPr="004D2792" w:rsidRDefault="00DD35F2" w:rsidP="00DD35F2">
      <w:pPr>
        <w:pStyle w:val="Header"/>
        <w:widowControl w:val="0"/>
        <w:tabs>
          <w:tab w:val="num" w:pos="1440"/>
        </w:tabs>
        <w:ind w:left="720"/>
        <w:rPr>
          <w:rFonts w:asciiTheme="minorHAnsi" w:hAnsiTheme="minorHAnsi"/>
          <w:sz w:val="22"/>
          <w:szCs w:val="22"/>
          <w:lang w:val="en-NZ"/>
        </w:rPr>
      </w:pPr>
    </w:p>
    <w:p w14:paraId="3D34C430" w14:textId="77777777" w:rsidR="00DD35F2" w:rsidRPr="004D2792" w:rsidRDefault="00DD35F2" w:rsidP="00DD35F2">
      <w:pPr>
        <w:pStyle w:val="Header"/>
        <w:widowControl w:val="0"/>
        <w:tabs>
          <w:tab w:val="num" w:pos="1440"/>
        </w:tabs>
        <w:rPr>
          <w:rFonts w:asciiTheme="minorHAnsi" w:hAnsiTheme="minorHAnsi"/>
          <w:sz w:val="22"/>
          <w:szCs w:val="22"/>
          <w:lang w:val="en-NZ"/>
        </w:rPr>
      </w:pPr>
      <w:r w:rsidRPr="004D2792">
        <w:rPr>
          <w:rFonts w:asciiTheme="minorHAnsi" w:hAnsiTheme="minorHAnsi"/>
          <w:sz w:val="22"/>
          <w:szCs w:val="22"/>
        </w:rPr>
        <w:t>Cranial nerve quick tests</w:t>
      </w:r>
      <w:r>
        <w:rPr>
          <w:rFonts w:asciiTheme="minorHAnsi" w:hAnsiTheme="minorHAnsi"/>
          <w:sz w:val="22"/>
          <w:szCs w:val="22"/>
        </w:rPr>
        <w:t xml:space="preserve"> can be summarised in the following rhyme:</w:t>
      </w:r>
    </w:p>
    <w:p w14:paraId="2C572AE6" w14:textId="77777777" w:rsidR="00DD35F2" w:rsidRPr="004D2792"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Smell and see (I, II)</w:t>
      </w:r>
    </w:p>
    <w:p w14:paraId="27157BA5" w14:textId="77777777" w:rsidR="00DD35F2" w:rsidRPr="004D2792"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And look around (III, IV, VI)</w:t>
      </w:r>
    </w:p>
    <w:p w14:paraId="7E35245B" w14:textId="77777777" w:rsidR="00DD35F2" w:rsidRPr="004D2792"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Pupils large and smaller (II)</w:t>
      </w:r>
    </w:p>
    <w:p w14:paraId="57C0B8D5" w14:textId="77777777" w:rsidR="00DD35F2" w:rsidRPr="004D2792"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Smile, hear! (VII, VIII)</w:t>
      </w:r>
    </w:p>
    <w:p w14:paraId="177FB44C" w14:textId="77777777" w:rsidR="00DD35F2" w:rsidRPr="004D2792"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Then say ah … (X)</w:t>
      </w:r>
    </w:p>
    <w:p w14:paraId="19349730" w14:textId="77777777" w:rsidR="00DD35F2" w:rsidRPr="003E2B1E"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And see if you can swallow (IX)</w:t>
      </w:r>
    </w:p>
    <w:p w14:paraId="1198BC2C" w14:textId="77777777" w:rsidR="00DD35F2" w:rsidRPr="004D2792"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If you’re left in any doubt,</w:t>
      </w:r>
      <w:r>
        <w:rPr>
          <w:rFonts w:asciiTheme="minorHAnsi" w:hAnsiTheme="minorHAnsi"/>
          <w:sz w:val="22"/>
          <w:szCs w:val="22"/>
          <w:lang w:val="en-US"/>
        </w:rPr>
        <w:t xml:space="preserve"> </w:t>
      </w:r>
      <w:r w:rsidRPr="004D2792">
        <w:rPr>
          <w:rFonts w:asciiTheme="minorHAnsi" w:hAnsiTheme="minorHAnsi"/>
          <w:sz w:val="22"/>
          <w:szCs w:val="22"/>
          <w:lang w:val="en-US"/>
        </w:rPr>
        <w:t>Shrug and stick your tongue right out (XI, XII)</w:t>
      </w:r>
    </w:p>
    <w:p w14:paraId="2B778C26" w14:textId="77777777" w:rsidR="00DD35F2" w:rsidRPr="008F5B2C" w:rsidRDefault="00DD35F2" w:rsidP="00DD35F2">
      <w:pPr>
        <w:pStyle w:val="Header"/>
        <w:widowControl w:val="0"/>
        <w:numPr>
          <w:ilvl w:val="0"/>
          <w:numId w:val="3"/>
        </w:numPr>
        <w:tabs>
          <w:tab w:val="num" w:pos="1440"/>
        </w:tabs>
        <w:rPr>
          <w:rFonts w:asciiTheme="minorHAnsi" w:hAnsiTheme="minorHAnsi"/>
          <w:sz w:val="22"/>
          <w:szCs w:val="22"/>
          <w:lang w:val="en-NZ"/>
        </w:rPr>
      </w:pPr>
      <w:r w:rsidRPr="004D2792">
        <w:rPr>
          <w:rFonts w:asciiTheme="minorHAnsi" w:hAnsiTheme="minorHAnsi"/>
          <w:sz w:val="22"/>
          <w:szCs w:val="22"/>
          <w:lang w:val="en-US"/>
        </w:rPr>
        <w:t xml:space="preserve">Note: Cranial Nerve V (Trigeminal) is not included in this rhyme. </w:t>
      </w:r>
      <w:r w:rsidRPr="004D2792">
        <w:rPr>
          <w:rFonts w:asciiTheme="minorHAnsi" w:hAnsiTheme="minorHAnsi"/>
          <w:sz w:val="22"/>
          <w:szCs w:val="22"/>
          <w:lang w:val="en-US"/>
        </w:rPr>
        <w:tab/>
        <w:t xml:space="preserve">Recall this is tested with sensory, motor and reflex testing. </w:t>
      </w:r>
    </w:p>
    <w:p w14:paraId="24484F12" w14:textId="77777777" w:rsidR="00DD35F2" w:rsidRPr="004D2792" w:rsidRDefault="00DD35F2" w:rsidP="00DD35F2">
      <w:pPr>
        <w:pStyle w:val="Header"/>
        <w:widowControl w:val="0"/>
        <w:tabs>
          <w:tab w:val="num" w:pos="1440"/>
        </w:tabs>
        <w:ind w:left="720"/>
        <w:rPr>
          <w:rFonts w:asciiTheme="minorHAnsi" w:hAnsiTheme="minorHAnsi"/>
          <w:sz w:val="22"/>
          <w:szCs w:val="22"/>
          <w:lang w:val="en-NZ"/>
        </w:rPr>
      </w:pPr>
    </w:p>
    <w:p w14:paraId="050E2109" w14:textId="77777777" w:rsidR="00DD35F2" w:rsidRPr="008F5B2C" w:rsidRDefault="00DD35F2" w:rsidP="00DD35F2">
      <w:pPr>
        <w:pStyle w:val="Header"/>
        <w:widowControl w:val="0"/>
        <w:rPr>
          <w:rFonts w:asciiTheme="minorHAnsi" w:hAnsiTheme="minorHAnsi"/>
          <w:sz w:val="22"/>
          <w:szCs w:val="22"/>
          <w:u w:val="single"/>
          <w:lang w:val="en-NZ"/>
        </w:rPr>
      </w:pPr>
      <w:r w:rsidRPr="008F5B2C">
        <w:rPr>
          <w:rFonts w:asciiTheme="minorHAnsi" w:hAnsiTheme="minorHAnsi"/>
          <w:sz w:val="22"/>
          <w:szCs w:val="22"/>
          <w:u w:val="single"/>
          <w:lang w:val="en-NZ"/>
        </w:rPr>
        <w:t>2.4 Cervical positional tests</w:t>
      </w:r>
    </w:p>
    <w:p w14:paraId="0A16124A" w14:textId="77777777" w:rsidR="00DD35F2" w:rsidRPr="004D2792" w:rsidRDefault="00DD35F2" w:rsidP="00DD35F2">
      <w:pPr>
        <w:pStyle w:val="Header"/>
        <w:widowControl w:val="0"/>
        <w:rPr>
          <w:rFonts w:asciiTheme="minorHAnsi" w:hAnsiTheme="minorHAnsi"/>
          <w:sz w:val="22"/>
          <w:szCs w:val="22"/>
        </w:rPr>
      </w:pPr>
      <w:r w:rsidRPr="004D2792">
        <w:rPr>
          <w:rFonts w:asciiTheme="minorHAnsi" w:hAnsiTheme="minorHAnsi"/>
          <w:sz w:val="22"/>
          <w:szCs w:val="22"/>
          <w:lang w:val="en-NZ"/>
        </w:rPr>
        <w:t xml:space="preserve">The positional tests of rotation </w:t>
      </w:r>
      <w:r>
        <w:rPr>
          <w:rFonts w:asciiTheme="minorHAnsi" w:hAnsiTheme="minorHAnsi"/>
          <w:sz w:val="22"/>
          <w:szCs w:val="22"/>
          <w:lang w:val="en-NZ"/>
        </w:rPr>
        <w:t xml:space="preserve">of the cervical spine (i.e. sustained end-range rotation left and right) </w:t>
      </w:r>
      <w:r w:rsidRPr="004D2792">
        <w:rPr>
          <w:rFonts w:asciiTheme="minorHAnsi" w:hAnsiTheme="minorHAnsi"/>
          <w:sz w:val="22"/>
          <w:szCs w:val="22"/>
          <w:lang w:val="en-NZ"/>
        </w:rPr>
        <w:t>can still be used but less emphasis must be placed on these than in the past.</w:t>
      </w:r>
    </w:p>
    <w:p w14:paraId="0BC86752"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22305E60" w14:textId="77777777" w:rsidR="00DD35F2" w:rsidRPr="008F5B2C" w:rsidRDefault="00DD35F2" w:rsidP="00DD35F2">
      <w:pPr>
        <w:pStyle w:val="Header"/>
        <w:widowControl w:val="0"/>
        <w:tabs>
          <w:tab w:val="clear" w:pos="4153"/>
          <w:tab w:val="clear" w:pos="8306"/>
          <w:tab w:val="num" w:pos="1440"/>
        </w:tabs>
        <w:rPr>
          <w:rFonts w:asciiTheme="minorHAnsi" w:hAnsiTheme="minorHAnsi"/>
          <w:sz w:val="22"/>
          <w:szCs w:val="22"/>
          <w:u w:val="single"/>
        </w:rPr>
      </w:pPr>
      <w:r w:rsidRPr="008F5B2C">
        <w:rPr>
          <w:rFonts w:asciiTheme="minorHAnsi" w:hAnsiTheme="minorHAnsi"/>
          <w:sz w:val="22"/>
          <w:szCs w:val="22"/>
          <w:u w:val="single"/>
        </w:rPr>
        <w:t xml:space="preserve">2.5 </w:t>
      </w:r>
      <w:r>
        <w:rPr>
          <w:rFonts w:asciiTheme="minorHAnsi" w:hAnsiTheme="minorHAnsi"/>
          <w:sz w:val="22"/>
          <w:szCs w:val="22"/>
          <w:u w:val="single"/>
        </w:rPr>
        <w:t>Differentiation</w:t>
      </w:r>
    </w:p>
    <w:p w14:paraId="34A15B72"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r w:rsidRPr="004D2792">
        <w:rPr>
          <w:rFonts w:asciiTheme="minorHAnsi" w:hAnsiTheme="minorHAnsi"/>
          <w:sz w:val="22"/>
          <w:szCs w:val="22"/>
        </w:rPr>
        <w:t>Differentiation of a patient’s symptoms originating from a vasculogenic cause with complete certainty is not currently possible from the physical examination. Thus, it is important for the physical therapist to understand that headache / neck pain may be the early presentation of an underlying vascular pathology (Rivett, 2004; Taylor &amp; Kerry, 2010). The task for the therapist is to differentiate the symptoms by:</w:t>
      </w:r>
    </w:p>
    <w:p w14:paraId="2D3E04B3" w14:textId="77777777" w:rsidR="00DD35F2" w:rsidRPr="004D2792" w:rsidRDefault="00DD35F2" w:rsidP="00DD35F2">
      <w:pPr>
        <w:pStyle w:val="Header"/>
        <w:widowControl w:val="0"/>
        <w:numPr>
          <w:ilvl w:val="0"/>
          <w:numId w:val="9"/>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Having a high index of suspicion</w:t>
      </w:r>
    </w:p>
    <w:p w14:paraId="3F470A2A" w14:textId="77777777" w:rsidR="00DD35F2" w:rsidRPr="004D2792" w:rsidRDefault="00DD35F2" w:rsidP="00DD35F2">
      <w:pPr>
        <w:pStyle w:val="Header"/>
        <w:widowControl w:val="0"/>
        <w:numPr>
          <w:ilvl w:val="0"/>
          <w:numId w:val="9"/>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Testing the vascular hypothesis</w:t>
      </w:r>
      <w:r>
        <w:rPr>
          <w:rFonts w:asciiTheme="minorHAnsi" w:hAnsiTheme="minorHAnsi"/>
          <w:sz w:val="22"/>
          <w:szCs w:val="22"/>
        </w:rPr>
        <w:t xml:space="preserve"> (as detailed above).</w:t>
      </w:r>
    </w:p>
    <w:p w14:paraId="235DBD82" w14:textId="77777777" w:rsidR="00DD35F2" w:rsidRDefault="00DD35F2" w:rsidP="00DD35F2">
      <w:pPr>
        <w:pStyle w:val="Header"/>
        <w:widowControl w:val="0"/>
        <w:tabs>
          <w:tab w:val="clear" w:pos="4153"/>
          <w:tab w:val="clear" w:pos="8306"/>
          <w:tab w:val="num" w:pos="1440"/>
        </w:tabs>
        <w:rPr>
          <w:rFonts w:asciiTheme="minorHAnsi" w:hAnsiTheme="minorHAnsi"/>
          <w:sz w:val="22"/>
          <w:szCs w:val="22"/>
        </w:rPr>
      </w:pPr>
    </w:p>
    <w:p w14:paraId="329813B9" w14:textId="77777777" w:rsidR="00DD35F2" w:rsidRPr="004D2792" w:rsidRDefault="00DD35F2" w:rsidP="00DD35F2">
      <w:pPr>
        <w:pStyle w:val="Header"/>
        <w:widowControl w:val="0"/>
        <w:tabs>
          <w:tab w:val="clear" w:pos="4153"/>
          <w:tab w:val="clear" w:pos="8306"/>
          <w:tab w:val="num" w:pos="1440"/>
        </w:tabs>
        <w:rPr>
          <w:rFonts w:asciiTheme="minorHAnsi" w:hAnsiTheme="minorHAnsi"/>
          <w:b/>
          <w:sz w:val="22"/>
          <w:szCs w:val="22"/>
        </w:rPr>
      </w:pPr>
      <w:r>
        <w:rPr>
          <w:rFonts w:asciiTheme="minorHAnsi" w:hAnsiTheme="minorHAnsi"/>
          <w:b/>
          <w:sz w:val="22"/>
          <w:szCs w:val="22"/>
        </w:rPr>
        <w:lastRenderedPageBreak/>
        <w:t>Take home practice tips</w:t>
      </w:r>
    </w:p>
    <w:p w14:paraId="0F397986" w14:textId="77777777" w:rsidR="00DD35F2" w:rsidRPr="004D2792" w:rsidRDefault="00DD35F2" w:rsidP="00DD35F2">
      <w:pPr>
        <w:pStyle w:val="Header"/>
        <w:widowControl w:val="0"/>
        <w:numPr>
          <w:ilvl w:val="0"/>
          <w:numId w:val="10"/>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There is a greater emphasis on a comprehensive history and in particular medical history with identification of vascular risk.</w:t>
      </w:r>
    </w:p>
    <w:p w14:paraId="2AF7D0F0" w14:textId="77777777" w:rsidR="00DD35F2" w:rsidRPr="004D2792" w:rsidRDefault="00DD35F2" w:rsidP="00DD35F2">
      <w:pPr>
        <w:pStyle w:val="Header"/>
        <w:widowControl w:val="0"/>
        <w:numPr>
          <w:ilvl w:val="0"/>
          <w:numId w:val="10"/>
        </w:numPr>
        <w:tabs>
          <w:tab w:val="clear" w:pos="4153"/>
          <w:tab w:val="clear" w:pos="8306"/>
        </w:tabs>
        <w:ind w:left="709"/>
        <w:rPr>
          <w:rFonts w:asciiTheme="minorHAnsi" w:hAnsiTheme="minorHAnsi"/>
          <w:sz w:val="22"/>
          <w:szCs w:val="22"/>
        </w:rPr>
      </w:pPr>
      <w:r w:rsidRPr="004D2792">
        <w:rPr>
          <w:rFonts w:asciiTheme="minorHAnsi" w:hAnsiTheme="minorHAnsi"/>
          <w:sz w:val="22"/>
          <w:szCs w:val="22"/>
        </w:rPr>
        <w:t>There is less emphasis on past physical tests such as cervical rotation and a greater emphasis on tests for vascular risk and neurological status that may indicate the presence or likelihood of a stroke.</w:t>
      </w:r>
    </w:p>
    <w:p w14:paraId="00175711" w14:textId="77777777" w:rsidR="00DD35F2" w:rsidRPr="004D2792" w:rsidRDefault="00DD35F2" w:rsidP="00DD35F2">
      <w:pPr>
        <w:pStyle w:val="Header"/>
        <w:widowControl w:val="0"/>
        <w:tabs>
          <w:tab w:val="clear" w:pos="4153"/>
          <w:tab w:val="clear" w:pos="8306"/>
        </w:tabs>
        <w:rPr>
          <w:rFonts w:asciiTheme="minorHAnsi" w:hAnsiTheme="minorHAnsi"/>
          <w:sz w:val="22"/>
          <w:szCs w:val="22"/>
        </w:rPr>
      </w:pPr>
    </w:p>
    <w:p w14:paraId="1A73CC6B" w14:textId="77777777" w:rsidR="00DD35F2" w:rsidRPr="004D2792" w:rsidRDefault="00DD35F2" w:rsidP="00DD35F2">
      <w:pPr>
        <w:pStyle w:val="Header"/>
        <w:widowControl w:val="0"/>
        <w:tabs>
          <w:tab w:val="clear" w:pos="4153"/>
          <w:tab w:val="clear" w:pos="8306"/>
        </w:tabs>
        <w:rPr>
          <w:rFonts w:asciiTheme="minorHAnsi" w:hAnsiTheme="minorHAnsi"/>
          <w:b/>
          <w:sz w:val="22"/>
          <w:szCs w:val="22"/>
        </w:rPr>
      </w:pPr>
      <w:r w:rsidRPr="004D2792">
        <w:rPr>
          <w:rFonts w:asciiTheme="minorHAnsi" w:hAnsiTheme="minorHAnsi"/>
          <w:b/>
          <w:sz w:val="22"/>
          <w:szCs w:val="22"/>
        </w:rPr>
        <w:t>Final Message</w:t>
      </w:r>
    </w:p>
    <w:p w14:paraId="6775E2E9" w14:textId="77777777" w:rsidR="00DD35F2" w:rsidRPr="004D2792" w:rsidRDefault="00DD35F2" w:rsidP="00DD35F2">
      <w:pPr>
        <w:pStyle w:val="Header"/>
        <w:widowControl w:val="0"/>
        <w:tabs>
          <w:tab w:val="clear" w:pos="4153"/>
          <w:tab w:val="clear" w:pos="8306"/>
        </w:tabs>
        <w:rPr>
          <w:rFonts w:asciiTheme="minorHAnsi" w:hAnsiTheme="minorHAnsi"/>
          <w:sz w:val="22"/>
          <w:szCs w:val="22"/>
        </w:rPr>
      </w:pPr>
      <w:r w:rsidRPr="004D2792">
        <w:rPr>
          <w:rFonts w:asciiTheme="minorHAnsi" w:hAnsiTheme="minorHAnsi"/>
          <w:sz w:val="22"/>
          <w:szCs w:val="22"/>
        </w:rPr>
        <w:t xml:space="preserve">If you are using orthopaedic manual therapy to treat patients with cervical spine disorders (mobilisation </w:t>
      </w:r>
      <w:r>
        <w:rPr>
          <w:rFonts w:asciiTheme="minorHAnsi" w:hAnsiTheme="minorHAnsi"/>
          <w:sz w:val="22"/>
          <w:szCs w:val="22"/>
        </w:rPr>
        <w:t>and/</w:t>
      </w:r>
      <w:r w:rsidRPr="004D2792">
        <w:rPr>
          <w:rFonts w:asciiTheme="minorHAnsi" w:hAnsiTheme="minorHAnsi"/>
          <w:sz w:val="22"/>
          <w:szCs w:val="22"/>
        </w:rPr>
        <w:t>or manipulation) you need to demonstrate your ongoing competency to both assess and treat such patients. A regular update on recent advances in the literature and techniques to manage neck pain are available to members and non-members of PNZ and NZMPA.</w:t>
      </w:r>
    </w:p>
    <w:p w14:paraId="308EFB6D" w14:textId="77777777" w:rsidR="00DD35F2" w:rsidRPr="004D2792" w:rsidRDefault="00DD35F2" w:rsidP="00DD35F2">
      <w:pPr>
        <w:pStyle w:val="Header"/>
        <w:widowControl w:val="0"/>
        <w:tabs>
          <w:tab w:val="clear" w:pos="4153"/>
          <w:tab w:val="clear" w:pos="8306"/>
        </w:tabs>
        <w:rPr>
          <w:rFonts w:asciiTheme="minorHAnsi" w:hAnsiTheme="minorHAnsi"/>
          <w:sz w:val="22"/>
          <w:szCs w:val="22"/>
        </w:rPr>
      </w:pPr>
    </w:p>
    <w:p w14:paraId="785052BF" w14:textId="77777777" w:rsidR="00DD35F2" w:rsidRPr="004D2792" w:rsidRDefault="00DD35F2" w:rsidP="00DD35F2">
      <w:pPr>
        <w:pStyle w:val="Header"/>
        <w:widowControl w:val="0"/>
        <w:tabs>
          <w:tab w:val="clear" w:pos="4153"/>
          <w:tab w:val="clear" w:pos="8306"/>
        </w:tabs>
        <w:rPr>
          <w:rFonts w:asciiTheme="minorHAnsi" w:hAnsiTheme="minorHAnsi"/>
          <w:sz w:val="22"/>
          <w:szCs w:val="22"/>
        </w:rPr>
      </w:pPr>
      <w:r>
        <w:rPr>
          <w:rFonts w:asciiTheme="minorHAnsi" w:hAnsiTheme="minorHAnsi"/>
          <w:sz w:val="22"/>
          <w:szCs w:val="22"/>
        </w:rPr>
        <w:t xml:space="preserve">Associate Professor </w:t>
      </w:r>
      <w:r w:rsidRPr="004D2792">
        <w:rPr>
          <w:rFonts w:asciiTheme="minorHAnsi" w:hAnsiTheme="minorHAnsi"/>
          <w:sz w:val="22"/>
          <w:szCs w:val="22"/>
        </w:rPr>
        <w:t>Duncan Reid</w:t>
      </w:r>
    </w:p>
    <w:p w14:paraId="3C835489" w14:textId="77777777" w:rsidR="00DD35F2" w:rsidRPr="004D2792" w:rsidRDefault="00DD35F2" w:rsidP="00DD35F2">
      <w:pPr>
        <w:pStyle w:val="Header"/>
        <w:widowControl w:val="0"/>
        <w:tabs>
          <w:tab w:val="clear" w:pos="4153"/>
          <w:tab w:val="clear" w:pos="8306"/>
        </w:tabs>
        <w:rPr>
          <w:rFonts w:asciiTheme="minorHAnsi" w:hAnsiTheme="minorHAnsi"/>
          <w:sz w:val="22"/>
          <w:szCs w:val="22"/>
        </w:rPr>
      </w:pPr>
      <w:r>
        <w:rPr>
          <w:rFonts w:asciiTheme="minorHAnsi" w:hAnsiTheme="minorHAnsi"/>
          <w:sz w:val="22"/>
          <w:szCs w:val="22"/>
        </w:rPr>
        <w:t xml:space="preserve">Chair Education Committee NZMPA, </w:t>
      </w:r>
      <w:r w:rsidRPr="004D2792">
        <w:rPr>
          <w:rFonts w:asciiTheme="minorHAnsi" w:hAnsiTheme="minorHAnsi"/>
          <w:sz w:val="22"/>
          <w:szCs w:val="22"/>
        </w:rPr>
        <w:t>August 2016</w:t>
      </w:r>
    </w:p>
    <w:p w14:paraId="154EDC05" w14:textId="77777777" w:rsidR="00DD35F2" w:rsidRPr="004D2792" w:rsidRDefault="00DD35F2" w:rsidP="00DD35F2">
      <w:pPr>
        <w:rPr>
          <w:rFonts w:asciiTheme="minorHAnsi" w:hAnsiTheme="minorHAnsi"/>
          <w:sz w:val="22"/>
          <w:szCs w:val="22"/>
        </w:rPr>
      </w:pPr>
      <w:r>
        <w:rPr>
          <w:rFonts w:asciiTheme="minorHAnsi" w:hAnsiTheme="minorHAnsi"/>
          <w:sz w:val="22"/>
          <w:szCs w:val="22"/>
        </w:rPr>
        <w:br w:type="page"/>
      </w:r>
    </w:p>
    <w:p w14:paraId="346DB10C" w14:textId="77777777" w:rsidR="00DD35F2" w:rsidRPr="00C32EAF" w:rsidRDefault="00DD35F2" w:rsidP="00DD35F2">
      <w:pPr>
        <w:pStyle w:val="Header"/>
        <w:widowControl w:val="0"/>
        <w:tabs>
          <w:tab w:val="clear" w:pos="4153"/>
          <w:tab w:val="clear" w:pos="8306"/>
          <w:tab w:val="num" w:pos="1440"/>
        </w:tabs>
        <w:rPr>
          <w:rFonts w:asciiTheme="minorHAnsi" w:hAnsiTheme="minorHAnsi"/>
          <w:b/>
        </w:rPr>
      </w:pPr>
      <w:r>
        <w:rPr>
          <w:rFonts w:asciiTheme="minorHAnsi" w:hAnsiTheme="minorHAnsi"/>
          <w:b/>
        </w:rPr>
        <w:lastRenderedPageBreak/>
        <w:t>References</w:t>
      </w:r>
    </w:p>
    <w:p w14:paraId="6F2DF0E0"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 xml:space="preserve">Arnold M, </w:t>
      </w:r>
      <w:proofErr w:type="spellStart"/>
      <w:r w:rsidRPr="00C32EAF">
        <w:rPr>
          <w:rFonts w:asciiTheme="minorHAnsi" w:hAnsiTheme="minorHAnsi"/>
        </w:rPr>
        <w:t>Bousser</w:t>
      </w:r>
      <w:proofErr w:type="spellEnd"/>
      <w:r w:rsidRPr="00C32EAF">
        <w:rPr>
          <w:rFonts w:asciiTheme="minorHAnsi" w:hAnsiTheme="minorHAnsi"/>
        </w:rPr>
        <w:t xml:space="preserve"> G, </w:t>
      </w:r>
      <w:proofErr w:type="spellStart"/>
      <w:r w:rsidRPr="00C32EAF">
        <w:rPr>
          <w:rFonts w:asciiTheme="minorHAnsi" w:hAnsiTheme="minorHAnsi"/>
        </w:rPr>
        <w:t>Fahrni</w:t>
      </w:r>
      <w:proofErr w:type="spellEnd"/>
      <w:r w:rsidRPr="00C32EAF">
        <w:rPr>
          <w:rFonts w:asciiTheme="minorHAnsi" w:hAnsiTheme="minorHAnsi"/>
        </w:rPr>
        <w:t xml:space="preserve"> G, et al (2006). Vertebral Artery Dissection Presenting Findings and Predictors of Outcome. Stroke 37:2499-2503.</w:t>
      </w:r>
    </w:p>
    <w:p w14:paraId="507EA135"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24FB5462"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 xml:space="preserve">Bernhardt M, </w:t>
      </w:r>
      <w:proofErr w:type="spellStart"/>
      <w:r w:rsidRPr="00C32EAF">
        <w:rPr>
          <w:rFonts w:asciiTheme="minorHAnsi" w:hAnsiTheme="minorHAnsi"/>
        </w:rPr>
        <w:t>Hyess</w:t>
      </w:r>
      <w:proofErr w:type="spellEnd"/>
      <w:r w:rsidRPr="00C32EAF">
        <w:rPr>
          <w:rFonts w:asciiTheme="minorHAnsi" w:hAnsiTheme="minorHAnsi"/>
        </w:rPr>
        <w:t xml:space="preserve"> RA, Blume HW, et al (1993). Cervical </w:t>
      </w:r>
      <w:proofErr w:type="spellStart"/>
      <w:r w:rsidRPr="00C32EAF">
        <w:rPr>
          <w:rFonts w:asciiTheme="minorHAnsi" w:hAnsiTheme="minorHAnsi"/>
        </w:rPr>
        <w:t>spondylotic</w:t>
      </w:r>
      <w:proofErr w:type="spellEnd"/>
      <w:r w:rsidRPr="00C32EAF">
        <w:rPr>
          <w:rFonts w:asciiTheme="minorHAnsi" w:hAnsiTheme="minorHAnsi"/>
        </w:rPr>
        <w:t xml:space="preserve"> myelopathy. The Journal of Bone and Joint Surgery American 75:119-128.</w:t>
      </w:r>
    </w:p>
    <w:p w14:paraId="58E0FD2E"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4A5DB5C9"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Cook C, Brismee JM, Fleming R, et al (2005). Identifiers suggestive of clinical cervical spine instability: a Delphi study of physical therapists. Physical Therapy 85(9):895-906.</w:t>
      </w:r>
    </w:p>
    <w:p w14:paraId="0813C554" w14:textId="77777777" w:rsidR="00DD35F2" w:rsidRPr="00C32EAF" w:rsidRDefault="00DD35F2" w:rsidP="00DD35F2">
      <w:pPr>
        <w:pStyle w:val="Header"/>
        <w:widowControl w:val="0"/>
        <w:tabs>
          <w:tab w:val="clear" w:pos="4153"/>
          <w:tab w:val="clear" w:pos="8306"/>
          <w:tab w:val="num" w:pos="1440"/>
        </w:tabs>
        <w:rPr>
          <w:rFonts w:asciiTheme="minorHAnsi" w:hAnsiTheme="minorHAnsi"/>
          <w:b/>
        </w:rPr>
      </w:pPr>
    </w:p>
    <w:p w14:paraId="7985CACE"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Fuller G (2008). Neurological examination made easy. 4th Edition, Elsevier.</w:t>
      </w:r>
    </w:p>
    <w:p w14:paraId="1CC22FE2"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60B3AC12"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 xml:space="preserve">Gibbons P, </w:t>
      </w:r>
      <w:proofErr w:type="spellStart"/>
      <w:r w:rsidRPr="00C32EAF">
        <w:rPr>
          <w:rFonts w:asciiTheme="minorHAnsi" w:hAnsiTheme="minorHAnsi"/>
        </w:rPr>
        <w:t>Tehan</w:t>
      </w:r>
      <w:proofErr w:type="spellEnd"/>
      <w:r w:rsidRPr="00C32EAF">
        <w:rPr>
          <w:rFonts w:asciiTheme="minorHAnsi" w:hAnsiTheme="minorHAnsi"/>
        </w:rPr>
        <w:t xml:space="preserve"> P (2005). Manipulation of the Spine, Thorax and Pelvis: An Osteopathic Perspective, 2nd </w:t>
      </w:r>
      <w:proofErr w:type="spellStart"/>
      <w:r w:rsidRPr="00C32EAF">
        <w:rPr>
          <w:rFonts w:asciiTheme="minorHAnsi" w:hAnsiTheme="minorHAnsi"/>
        </w:rPr>
        <w:t>Edn</w:t>
      </w:r>
      <w:proofErr w:type="spellEnd"/>
      <w:r w:rsidRPr="00C32EAF">
        <w:rPr>
          <w:rFonts w:asciiTheme="minorHAnsi" w:hAnsiTheme="minorHAnsi"/>
        </w:rPr>
        <w:t>, Churchill Livingstone.</w:t>
      </w:r>
    </w:p>
    <w:p w14:paraId="67DD0681"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254F6625"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roofErr w:type="spellStart"/>
      <w:r w:rsidRPr="00C32EAF">
        <w:rPr>
          <w:rFonts w:asciiTheme="minorHAnsi" w:hAnsiTheme="minorHAnsi"/>
        </w:rPr>
        <w:t>Haneline</w:t>
      </w:r>
      <w:proofErr w:type="spellEnd"/>
      <w:r w:rsidRPr="00C32EAF">
        <w:rPr>
          <w:rFonts w:asciiTheme="minorHAnsi" w:hAnsiTheme="minorHAnsi"/>
        </w:rPr>
        <w:t xml:space="preserve"> M, </w:t>
      </w:r>
      <w:proofErr w:type="spellStart"/>
      <w:r w:rsidRPr="00C32EAF">
        <w:rPr>
          <w:rFonts w:asciiTheme="minorHAnsi" w:hAnsiTheme="minorHAnsi"/>
        </w:rPr>
        <w:t>Lewkovich</w:t>
      </w:r>
      <w:proofErr w:type="spellEnd"/>
      <w:r w:rsidRPr="00C32EAF">
        <w:rPr>
          <w:rFonts w:asciiTheme="minorHAnsi" w:hAnsiTheme="minorHAnsi"/>
        </w:rPr>
        <w:t xml:space="preserve"> G (2004). Identification of internal carotid artery dissection in chiropractic practice. J Can </w:t>
      </w:r>
      <w:proofErr w:type="spellStart"/>
      <w:r w:rsidRPr="00C32EAF">
        <w:rPr>
          <w:rFonts w:asciiTheme="minorHAnsi" w:hAnsiTheme="minorHAnsi"/>
        </w:rPr>
        <w:t>Chiropr</w:t>
      </w:r>
      <w:proofErr w:type="spellEnd"/>
      <w:r w:rsidRPr="00C32EAF">
        <w:rPr>
          <w:rFonts w:asciiTheme="minorHAnsi" w:hAnsiTheme="minorHAnsi"/>
        </w:rPr>
        <w:t xml:space="preserve"> Assoc 48(3):206-10.</w:t>
      </w:r>
    </w:p>
    <w:p w14:paraId="720E66C4"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2D89586D"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Kerry R, Taylor AJ, Mitchell JM, et al (2008). Cervical arterial dysfunction and manual therapy: A critical literature review to inform professional practice. Manual Therapy 13(4):278-288</w:t>
      </w:r>
    </w:p>
    <w:p w14:paraId="091224BE"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18184A05" w14:textId="77777777" w:rsidR="00DD35F2" w:rsidRPr="00C32EAF" w:rsidRDefault="00DD35F2" w:rsidP="00DD35F2">
      <w:pPr>
        <w:rPr>
          <w:rFonts w:asciiTheme="minorHAnsi" w:hAnsiTheme="minorHAnsi"/>
          <w:lang w:val="en-NZ" w:eastAsia="en-NZ"/>
        </w:rPr>
      </w:pPr>
      <w:r w:rsidRPr="00C32EAF">
        <w:rPr>
          <w:rFonts w:asciiTheme="minorHAnsi" w:hAnsiTheme="minorHAnsi"/>
          <w:lang w:val="en-NZ" w:eastAsia="en-NZ"/>
        </w:rPr>
        <w:t xml:space="preserve">Magarey ME, </w:t>
      </w:r>
      <w:proofErr w:type="spellStart"/>
      <w:r w:rsidRPr="00C32EAF">
        <w:rPr>
          <w:rFonts w:asciiTheme="minorHAnsi" w:hAnsiTheme="minorHAnsi"/>
          <w:lang w:val="en-NZ" w:eastAsia="en-NZ"/>
        </w:rPr>
        <w:t>Rebbeck</w:t>
      </w:r>
      <w:proofErr w:type="spellEnd"/>
      <w:r w:rsidRPr="00C32EAF">
        <w:rPr>
          <w:rFonts w:asciiTheme="minorHAnsi" w:hAnsiTheme="minorHAnsi"/>
          <w:lang w:val="en-NZ" w:eastAsia="en-NZ"/>
        </w:rPr>
        <w:t xml:space="preserve"> T, Coughlan B, et al. K. Pre-manipulative testing of the cervical spine review, revision, and new clinical guidelines.  Man </w:t>
      </w:r>
      <w:proofErr w:type="spellStart"/>
      <w:r w:rsidRPr="00C32EAF">
        <w:rPr>
          <w:rFonts w:asciiTheme="minorHAnsi" w:hAnsiTheme="minorHAnsi"/>
          <w:lang w:val="en-NZ" w:eastAsia="en-NZ"/>
        </w:rPr>
        <w:t>Ther</w:t>
      </w:r>
      <w:proofErr w:type="spellEnd"/>
      <w:r w:rsidRPr="00C32EAF">
        <w:rPr>
          <w:rFonts w:asciiTheme="minorHAnsi" w:hAnsiTheme="minorHAnsi"/>
          <w:lang w:val="en-NZ" w:eastAsia="en-NZ"/>
        </w:rPr>
        <w:t>. 2004;</w:t>
      </w:r>
      <w:r>
        <w:rPr>
          <w:rFonts w:asciiTheme="minorHAnsi" w:hAnsiTheme="minorHAnsi"/>
          <w:lang w:val="en-NZ" w:eastAsia="en-NZ"/>
        </w:rPr>
        <w:t xml:space="preserve"> </w:t>
      </w:r>
      <w:r w:rsidRPr="00C32EAF">
        <w:rPr>
          <w:rFonts w:asciiTheme="minorHAnsi" w:hAnsiTheme="minorHAnsi"/>
          <w:lang w:val="en-NZ" w:eastAsia="en-NZ"/>
        </w:rPr>
        <w:t>9:95–108.</w:t>
      </w:r>
    </w:p>
    <w:p w14:paraId="76DC4FBF"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7CEC397C"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roofErr w:type="spellStart"/>
      <w:r w:rsidRPr="00C32EAF">
        <w:rPr>
          <w:rFonts w:asciiTheme="minorHAnsi" w:hAnsiTheme="minorHAnsi"/>
        </w:rPr>
        <w:t>Mancia</w:t>
      </w:r>
      <w:proofErr w:type="spellEnd"/>
      <w:r w:rsidRPr="00C32EAF">
        <w:rPr>
          <w:rFonts w:asciiTheme="minorHAnsi" w:hAnsiTheme="minorHAnsi"/>
        </w:rPr>
        <w:t xml:space="preserve"> G, De Backer G, </w:t>
      </w:r>
      <w:proofErr w:type="spellStart"/>
      <w:r w:rsidRPr="00C32EAF">
        <w:rPr>
          <w:rFonts w:asciiTheme="minorHAnsi" w:hAnsiTheme="minorHAnsi"/>
        </w:rPr>
        <w:t>Dominiczak</w:t>
      </w:r>
      <w:proofErr w:type="spellEnd"/>
      <w:r w:rsidRPr="00C32EAF">
        <w:rPr>
          <w:rFonts w:asciiTheme="minorHAnsi" w:hAnsiTheme="minorHAnsi"/>
        </w:rPr>
        <w:t xml:space="preserve"> A et al (2007). Guidelines for the Management of Arterial Hypertension: The Task Force for the Management of Arterial Hypertension of the European Society of Hypertension (ESH) and of the European Society of Cardiology (ESC). Journal of Hypertension 25(6):1105-87.</w:t>
      </w:r>
    </w:p>
    <w:p w14:paraId="0D6647DB"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27DF4F23"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 xml:space="preserve">Rivett DA (2004). Adverse effects of cervical manipulative therapy. In J.D. </w:t>
      </w:r>
      <w:proofErr w:type="spellStart"/>
      <w:r w:rsidRPr="00C32EAF">
        <w:rPr>
          <w:rFonts w:asciiTheme="minorHAnsi" w:hAnsiTheme="minorHAnsi"/>
        </w:rPr>
        <w:t>Boyling</w:t>
      </w:r>
      <w:proofErr w:type="spellEnd"/>
      <w:r w:rsidRPr="00C32EAF">
        <w:rPr>
          <w:rFonts w:asciiTheme="minorHAnsi" w:hAnsiTheme="minorHAnsi"/>
        </w:rPr>
        <w:t xml:space="preserve"> and G.A. Jull (eds.), </w:t>
      </w:r>
      <w:proofErr w:type="spellStart"/>
      <w:r w:rsidRPr="00C32EAF">
        <w:rPr>
          <w:rFonts w:asciiTheme="minorHAnsi" w:hAnsiTheme="minorHAnsi"/>
        </w:rPr>
        <w:t>Grieve’s</w:t>
      </w:r>
      <w:proofErr w:type="spellEnd"/>
      <w:r w:rsidRPr="00C32EAF">
        <w:rPr>
          <w:rFonts w:asciiTheme="minorHAnsi" w:hAnsiTheme="minorHAnsi"/>
        </w:rPr>
        <w:t xml:space="preserve"> Modern Manual Therapy of the Vertebral Column (3rd ed). Churchill Livingstone: Edinburgh 533-549.</w:t>
      </w:r>
    </w:p>
    <w:p w14:paraId="3CEBBC7E"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3AAB1241"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roofErr w:type="spellStart"/>
      <w:r w:rsidRPr="00C32EAF">
        <w:rPr>
          <w:rFonts w:asciiTheme="minorHAnsi" w:hAnsiTheme="minorHAnsi"/>
        </w:rPr>
        <w:t>Savitz</w:t>
      </w:r>
      <w:proofErr w:type="spellEnd"/>
      <w:r w:rsidRPr="00C32EAF">
        <w:rPr>
          <w:rFonts w:asciiTheme="minorHAnsi" w:hAnsiTheme="minorHAnsi"/>
        </w:rPr>
        <w:t xml:space="preserve"> S, Caplan L (2005). Vertebrobasilar Disease. The New England Journal of Medicine 352:2618- 2626.</w:t>
      </w:r>
    </w:p>
    <w:p w14:paraId="4FE81158"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14EE2C9F"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Taylor AJ, Kerry R (2010). A ‘system based’ approach to risk assessment of the cervical spine prior to manual therapy. International Journal of Osteopathic Medicine 13:85-93</w:t>
      </w:r>
    </w:p>
    <w:p w14:paraId="10328676"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7D5D2744"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Rao R (2002). Neck pain, cervical radiculopathy, and cervical myelopathy. The Journal of Bone and Joint Surgery 84A</w:t>
      </w:r>
      <w:r>
        <w:rPr>
          <w:rFonts w:asciiTheme="minorHAnsi" w:hAnsiTheme="minorHAnsi"/>
        </w:rPr>
        <w:t xml:space="preserve"> </w:t>
      </w:r>
      <w:r w:rsidRPr="00C32EAF">
        <w:rPr>
          <w:rFonts w:asciiTheme="minorHAnsi" w:hAnsiTheme="minorHAnsi"/>
        </w:rPr>
        <w:t>(10):1872-1881.</w:t>
      </w:r>
    </w:p>
    <w:p w14:paraId="79B86A10"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32C9EC83" w14:textId="77777777" w:rsidR="00DD35F2" w:rsidRPr="00C32EAF" w:rsidRDefault="00DD35F2" w:rsidP="00DD35F2">
      <w:pPr>
        <w:rPr>
          <w:rFonts w:asciiTheme="minorHAnsi" w:hAnsiTheme="minorHAnsi"/>
        </w:rPr>
      </w:pPr>
      <w:proofErr w:type="spellStart"/>
      <w:r w:rsidRPr="00C32EAF">
        <w:rPr>
          <w:rFonts w:asciiTheme="minorHAnsi" w:hAnsiTheme="minorHAnsi"/>
          <w:lang w:val="en-NZ"/>
        </w:rPr>
        <w:t>Ritcher</w:t>
      </w:r>
      <w:proofErr w:type="spellEnd"/>
      <w:r w:rsidRPr="00C32EAF">
        <w:rPr>
          <w:rFonts w:asciiTheme="minorHAnsi" w:hAnsiTheme="minorHAnsi"/>
          <w:lang w:val="en-NZ"/>
        </w:rPr>
        <w:t xml:space="preserve">, R and </w:t>
      </w:r>
      <w:proofErr w:type="spellStart"/>
      <w:proofErr w:type="gramStart"/>
      <w:r w:rsidRPr="00C32EAF">
        <w:rPr>
          <w:rFonts w:asciiTheme="minorHAnsi" w:hAnsiTheme="minorHAnsi"/>
          <w:lang w:val="en-NZ"/>
        </w:rPr>
        <w:t>Reinking,M</w:t>
      </w:r>
      <w:proofErr w:type="spellEnd"/>
      <w:r w:rsidRPr="00C32EAF">
        <w:rPr>
          <w:rFonts w:asciiTheme="minorHAnsi" w:hAnsiTheme="minorHAnsi"/>
          <w:lang w:val="en-NZ"/>
        </w:rPr>
        <w:t>.</w:t>
      </w:r>
      <w:proofErr w:type="gramEnd"/>
      <w:r w:rsidRPr="00C32EAF">
        <w:rPr>
          <w:rFonts w:asciiTheme="minorHAnsi" w:hAnsiTheme="minorHAnsi" w:cs="Arial"/>
          <w:lang w:val="en-NZ" w:eastAsia="en-NZ"/>
        </w:rPr>
        <w:t xml:space="preserve"> How does evidence on the diagnostic accuracy of the vertebral artery test influence teaching of the test in a professional physical therapist education program? </w:t>
      </w:r>
      <w:r>
        <w:rPr>
          <w:rFonts w:asciiTheme="minorHAnsi" w:hAnsiTheme="minorHAnsi"/>
        </w:rPr>
        <w:t>Physical Therapy</w:t>
      </w:r>
      <w:r w:rsidRPr="00C32EAF">
        <w:rPr>
          <w:rFonts w:asciiTheme="minorHAnsi" w:hAnsiTheme="minorHAnsi"/>
        </w:rPr>
        <w:t>. Volume 85. Number 6. June 2005</w:t>
      </w:r>
    </w:p>
    <w:p w14:paraId="07832B72" w14:textId="77777777" w:rsidR="00DD35F2" w:rsidRPr="00C32EAF" w:rsidRDefault="00DD35F2" w:rsidP="00DD35F2">
      <w:pPr>
        <w:rPr>
          <w:rFonts w:asciiTheme="minorHAnsi" w:hAnsiTheme="minorHAnsi"/>
        </w:rPr>
      </w:pPr>
    </w:p>
    <w:p w14:paraId="4E265D53" w14:textId="77777777" w:rsidR="00DD35F2" w:rsidRPr="00C32EAF" w:rsidRDefault="00DD35F2" w:rsidP="00DD35F2">
      <w:pPr>
        <w:jc w:val="both"/>
        <w:rPr>
          <w:rFonts w:asciiTheme="minorHAnsi" w:hAnsiTheme="minorHAnsi"/>
        </w:rPr>
      </w:pPr>
      <w:r w:rsidRPr="00C32EAF">
        <w:rPr>
          <w:rFonts w:asciiTheme="minorHAnsi" w:hAnsiTheme="minorHAnsi"/>
        </w:rPr>
        <w:t>Rushton et al (2014) International framework for examination of the cervical region for potential of Cervical Arterial Dysfunction prior to Orthopaedic Manual Therapy intervention. Manual Therapy (19) 222-228</w:t>
      </w:r>
    </w:p>
    <w:p w14:paraId="30D719BC" w14:textId="77777777" w:rsidR="00DD35F2" w:rsidRPr="00C32EAF" w:rsidRDefault="00DD35F2" w:rsidP="00DD35F2">
      <w:pPr>
        <w:rPr>
          <w:rFonts w:asciiTheme="minorHAnsi" w:hAnsiTheme="minorHAnsi" w:cs="Arial"/>
          <w:lang w:val="en-NZ" w:eastAsia="en-NZ"/>
        </w:rPr>
      </w:pPr>
    </w:p>
    <w:p w14:paraId="4703204E"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roofErr w:type="spellStart"/>
      <w:r w:rsidRPr="00C32EAF">
        <w:rPr>
          <w:rFonts w:asciiTheme="minorHAnsi" w:hAnsiTheme="minorHAnsi"/>
        </w:rPr>
        <w:t>Thanvi</w:t>
      </w:r>
      <w:proofErr w:type="spellEnd"/>
      <w:r w:rsidRPr="00C32EAF">
        <w:rPr>
          <w:rFonts w:asciiTheme="minorHAnsi" w:hAnsiTheme="minorHAnsi"/>
        </w:rPr>
        <w:t xml:space="preserve"> B, Munshi SK, Dawson SL, et al (2005). Carotid and vertebral artery dissection syndromes. Postgraduate Medical Journal 81(956):383-8.</w:t>
      </w:r>
    </w:p>
    <w:p w14:paraId="5DFB3676"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p>
    <w:p w14:paraId="09653CD0" w14:textId="77777777" w:rsidR="00DD35F2" w:rsidRPr="00C32EAF" w:rsidRDefault="00DD35F2" w:rsidP="00DD35F2">
      <w:pPr>
        <w:pStyle w:val="Header"/>
        <w:widowControl w:val="0"/>
        <w:tabs>
          <w:tab w:val="clear" w:pos="4153"/>
          <w:tab w:val="clear" w:pos="8306"/>
          <w:tab w:val="num" w:pos="1440"/>
        </w:tabs>
        <w:rPr>
          <w:rFonts w:asciiTheme="minorHAnsi" w:hAnsiTheme="minorHAnsi"/>
        </w:rPr>
      </w:pPr>
      <w:r w:rsidRPr="00C32EAF">
        <w:rPr>
          <w:rFonts w:asciiTheme="minorHAnsi" w:hAnsiTheme="minorHAnsi"/>
        </w:rPr>
        <w:t xml:space="preserve">Thomas LC, Rivett DA, Attia JR, et al (2011). Risk factors and clinical features of </w:t>
      </w:r>
      <w:proofErr w:type="spellStart"/>
      <w:r w:rsidRPr="00C32EAF">
        <w:rPr>
          <w:rFonts w:asciiTheme="minorHAnsi" w:hAnsiTheme="minorHAnsi"/>
        </w:rPr>
        <w:t>craniocervical</w:t>
      </w:r>
      <w:proofErr w:type="spellEnd"/>
      <w:r w:rsidRPr="00C32EAF">
        <w:rPr>
          <w:rFonts w:asciiTheme="minorHAnsi" w:hAnsiTheme="minorHAnsi"/>
        </w:rPr>
        <w:t xml:space="preserve"> arterial dissection. Manual Therapy 16(4):351-356.</w:t>
      </w:r>
    </w:p>
    <w:p w14:paraId="0BDAB947"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610297BB"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3B83D0F4" w14:textId="77777777" w:rsidR="00DD35F2" w:rsidRPr="004D2792" w:rsidRDefault="00DD35F2" w:rsidP="00DD35F2">
      <w:pPr>
        <w:pStyle w:val="Header"/>
        <w:widowControl w:val="0"/>
        <w:tabs>
          <w:tab w:val="clear" w:pos="4153"/>
          <w:tab w:val="clear" w:pos="8306"/>
          <w:tab w:val="num" w:pos="1440"/>
        </w:tabs>
        <w:rPr>
          <w:rFonts w:asciiTheme="minorHAnsi" w:hAnsiTheme="minorHAnsi"/>
          <w:sz w:val="22"/>
          <w:szCs w:val="22"/>
        </w:rPr>
      </w:pPr>
    </w:p>
    <w:p w14:paraId="4AF3E952" w14:textId="77777777" w:rsidR="00DD35F2" w:rsidRPr="004D2792" w:rsidRDefault="00DD35F2" w:rsidP="00DD35F2">
      <w:pPr>
        <w:rPr>
          <w:rFonts w:asciiTheme="minorHAnsi" w:hAnsiTheme="minorHAnsi"/>
          <w:sz w:val="22"/>
          <w:szCs w:val="22"/>
        </w:rPr>
      </w:pPr>
    </w:p>
    <w:sectPr w:rsidR="00DD35F2" w:rsidRPr="004D2792" w:rsidSect="00313DE9">
      <w:footerReference w:type="default" r:id="rId10"/>
      <w:pgSz w:w="11906" w:h="16838" w:code="9"/>
      <w:pgMar w:top="1440" w:right="1440" w:bottom="1440" w:left="1440" w:header="709" w:footer="709"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AA89C" w14:textId="77777777" w:rsidR="007E50F4" w:rsidRDefault="007E50F4" w:rsidP="00313DE9">
      <w:r>
        <w:separator/>
      </w:r>
    </w:p>
  </w:endnote>
  <w:endnote w:type="continuationSeparator" w:id="0">
    <w:p w14:paraId="4BF13D8E" w14:textId="77777777" w:rsidR="007E50F4" w:rsidRDefault="007E50F4" w:rsidP="0031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888803"/>
      <w:docPartObj>
        <w:docPartGallery w:val="Page Numbers (Bottom of Page)"/>
        <w:docPartUnique/>
      </w:docPartObj>
    </w:sdtPr>
    <w:sdtEndPr>
      <w:rPr>
        <w:rFonts w:asciiTheme="minorHAnsi" w:hAnsiTheme="minorHAnsi" w:cstheme="minorHAnsi"/>
        <w:noProof/>
      </w:rPr>
    </w:sdtEndPr>
    <w:sdtContent>
      <w:p w14:paraId="2CBE7992" w14:textId="77777777" w:rsidR="005F6E52" w:rsidRPr="00313DE9" w:rsidRDefault="00405C1D">
        <w:pPr>
          <w:pStyle w:val="Footer"/>
          <w:jc w:val="right"/>
          <w:rPr>
            <w:rFonts w:asciiTheme="minorHAnsi" w:hAnsiTheme="minorHAnsi" w:cstheme="minorHAnsi"/>
          </w:rPr>
        </w:pPr>
        <w:r w:rsidRPr="00313DE9">
          <w:rPr>
            <w:rFonts w:asciiTheme="minorHAnsi" w:hAnsiTheme="minorHAnsi" w:cstheme="minorHAnsi"/>
          </w:rPr>
          <w:fldChar w:fldCharType="begin"/>
        </w:r>
        <w:r w:rsidRPr="00313DE9">
          <w:rPr>
            <w:rFonts w:asciiTheme="minorHAnsi" w:hAnsiTheme="minorHAnsi" w:cstheme="minorHAnsi"/>
          </w:rPr>
          <w:instrText xml:space="preserve"> PAGE   \* MERGEFORMAT </w:instrText>
        </w:r>
        <w:r w:rsidRPr="00313DE9">
          <w:rPr>
            <w:rFonts w:asciiTheme="minorHAnsi" w:hAnsiTheme="minorHAnsi" w:cstheme="minorHAnsi"/>
          </w:rPr>
          <w:fldChar w:fldCharType="separate"/>
        </w:r>
        <w:r w:rsidRPr="00313DE9">
          <w:rPr>
            <w:rFonts w:asciiTheme="minorHAnsi" w:hAnsiTheme="minorHAnsi" w:cstheme="minorHAnsi"/>
            <w:noProof/>
          </w:rPr>
          <w:t>3</w:t>
        </w:r>
        <w:r w:rsidRPr="00313DE9">
          <w:rPr>
            <w:rFonts w:asciiTheme="minorHAnsi" w:hAnsiTheme="minorHAnsi" w:cstheme="minorHAnsi"/>
            <w:noProof/>
          </w:rPr>
          <w:fldChar w:fldCharType="end"/>
        </w:r>
      </w:p>
    </w:sdtContent>
  </w:sdt>
  <w:p w14:paraId="224AA2B1" w14:textId="77777777" w:rsidR="005F6E52" w:rsidRDefault="007E5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BB587" w14:textId="77777777" w:rsidR="007E50F4" w:rsidRDefault="007E50F4" w:rsidP="00313DE9">
      <w:r>
        <w:separator/>
      </w:r>
    </w:p>
  </w:footnote>
  <w:footnote w:type="continuationSeparator" w:id="0">
    <w:p w14:paraId="27937241" w14:textId="77777777" w:rsidR="007E50F4" w:rsidRDefault="007E50F4" w:rsidP="00313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D89"/>
    <w:multiLevelType w:val="hybridMultilevel"/>
    <w:tmpl w:val="2E9EB306"/>
    <w:lvl w:ilvl="0" w:tplc="85B02FB8">
      <w:start w:val="1"/>
      <w:numFmt w:val="bullet"/>
      <w:lvlText w:val=""/>
      <w:lvlJc w:val="left"/>
      <w:pPr>
        <w:tabs>
          <w:tab w:val="num" w:pos="720"/>
        </w:tabs>
        <w:ind w:left="720" w:hanging="360"/>
      </w:pPr>
      <w:rPr>
        <w:rFonts w:ascii="Wingdings 2" w:hAnsi="Wingdings 2" w:hint="default"/>
      </w:rPr>
    </w:lvl>
    <w:lvl w:ilvl="1" w:tplc="1C74DF42" w:tentative="1">
      <w:start w:val="1"/>
      <w:numFmt w:val="bullet"/>
      <w:lvlText w:val=""/>
      <w:lvlJc w:val="left"/>
      <w:pPr>
        <w:tabs>
          <w:tab w:val="num" w:pos="1440"/>
        </w:tabs>
        <w:ind w:left="1440" w:hanging="360"/>
      </w:pPr>
      <w:rPr>
        <w:rFonts w:ascii="Wingdings 2" w:hAnsi="Wingdings 2" w:hint="default"/>
      </w:rPr>
    </w:lvl>
    <w:lvl w:ilvl="2" w:tplc="A064A25E" w:tentative="1">
      <w:start w:val="1"/>
      <w:numFmt w:val="bullet"/>
      <w:lvlText w:val=""/>
      <w:lvlJc w:val="left"/>
      <w:pPr>
        <w:tabs>
          <w:tab w:val="num" w:pos="2160"/>
        </w:tabs>
        <w:ind w:left="2160" w:hanging="360"/>
      </w:pPr>
      <w:rPr>
        <w:rFonts w:ascii="Wingdings 2" w:hAnsi="Wingdings 2" w:hint="default"/>
      </w:rPr>
    </w:lvl>
    <w:lvl w:ilvl="3" w:tplc="88DE569C" w:tentative="1">
      <w:start w:val="1"/>
      <w:numFmt w:val="bullet"/>
      <w:lvlText w:val=""/>
      <w:lvlJc w:val="left"/>
      <w:pPr>
        <w:tabs>
          <w:tab w:val="num" w:pos="2880"/>
        </w:tabs>
        <w:ind w:left="2880" w:hanging="360"/>
      </w:pPr>
      <w:rPr>
        <w:rFonts w:ascii="Wingdings 2" w:hAnsi="Wingdings 2" w:hint="default"/>
      </w:rPr>
    </w:lvl>
    <w:lvl w:ilvl="4" w:tplc="194020A2" w:tentative="1">
      <w:start w:val="1"/>
      <w:numFmt w:val="bullet"/>
      <w:lvlText w:val=""/>
      <w:lvlJc w:val="left"/>
      <w:pPr>
        <w:tabs>
          <w:tab w:val="num" w:pos="3600"/>
        </w:tabs>
        <w:ind w:left="3600" w:hanging="360"/>
      </w:pPr>
      <w:rPr>
        <w:rFonts w:ascii="Wingdings 2" w:hAnsi="Wingdings 2" w:hint="default"/>
      </w:rPr>
    </w:lvl>
    <w:lvl w:ilvl="5" w:tplc="558E94C2" w:tentative="1">
      <w:start w:val="1"/>
      <w:numFmt w:val="bullet"/>
      <w:lvlText w:val=""/>
      <w:lvlJc w:val="left"/>
      <w:pPr>
        <w:tabs>
          <w:tab w:val="num" w:pos="4320"/>
        </w:tabs>
        <w:ind w:left="4320" w:hanging="360"/>
      </w:pPr>
      <w:rPr>
        <w:rFonts w:ascii="Wingdings 2" w:hAnsi="Wingdings 2" w:hint="default"/>
      </w:rPr>
    </w:lvl>
    <w:lvl w:ilvl="6" w:tplc="67849F06" w:tentative="1">
      <w:start w:val="1"/>
      <w:numFmt w:val="bullet"/>
      <w:lvlText w:val=""/>
      <w:lvlJc w:val="left"/>
      <w:pPr>
        <w:tabs>
          <w:tab w:val="num" w:pos="5040"/>
        </w:tabs>
        <w:ind w:left="5040" w:hanging="360"/>
      </w:pPr>
      <w:rPr>
        <w:rFonts w:ascii="Wingdings 2" w:hAnsi="Wingdings 2" w:hint="default"/>
      </w:rPr>
    </w:lvl>
    <w:lvl w:ilvl="7" w:tplc="3A7054CC" w:tentative="1">
      <w:start w:val="1"/>
      <w:numFmt w:val="bullet"/>
      <w:lvlText w:val=""/>
      <w:lvlJc w:val="left"/>
      <w:pPr>
        <w:tabs>
          <w:tab w:val="num" w:pos="5760"/>
        </w:tabs>
        <w:ind w:left="5760" w:hanging="360"/>
      </w:pPr>
      <w:rPr>
        <w:rFonts w:ascii="Wingdings 2" w:hAnsi="Wingdings 2" w:hint="default"/>
      </w:rPr>
    </w:lvl>
    <w:lvl w:ilvl="8" w:tplc="AF861E3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DCA2874"/>
    <w:multiLevelType w:val="hybridMultilevel"/>
    <w:tmpl w:val="E0D624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D023BBD"/>
    <w:multiLevelType w:val="hybridMultilevel"/>
    <w:tmpl w:val="E2B6F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936723"/>
    <w:multiLevelType w:val="hybridMultilevel"/>
    <w:tmpl w:val="C3982832"/>
    <w:lvl w:ilvl="0" w:tplc="E26E1A8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15:restartNumberingAfterBreak="0">
    <w:nsid w:val="48354A97"/>
    <w:multiLevelType w:val="hybridMultilevel"/>
    <w:tmpl w:val="6DF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F40E9"/>
    <w:multiLevelType w:val="hybridMultilevel"/>
    <w:tmpl w:val="B55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63801"/>
    <w:multiLevelType w:val="hybridMultilevel"/>
    <w:tmpl w:val="68B41E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FDA44DB"/>
    <w:multiLevelType w:val="hybridMultilevel"/>
    <w:tmpl w:val="7DCA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3564"/>
    <w:multiLevelType w:val="hybridMultilevel"/>
    <w:tmpl w:val="5E124376"/>
    <w:lvl w:ilvl="0" w:tplc="E26E1A8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15:restartNumberingAfterBreak="0">
    <w:nsid w:val="7E531C7C"/>
    <w:multiLevelType w:val="hybridMultilevel"/>
    <w:tmpl w:val="C96E0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F2"/>
    <w:rsid w:val="00313DE9"/>
    <w:rsid w:val="003848B7"/>
    <w:rsid w:val="00405C1D"/>
    <w:rsid w:val="006A2B90"/>
    <w:rsid w:val="007E50F4"/>
    <w:rsid w:val="00CD0405"/>
    <w:rsid w:val="00DD35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2F71"/>
  <w15:chartTrackingRefBased/>
  <w15:docId w15:val="{8971EC94-E46C-4356-9F87-75E5A2F8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DE9"/>
    <w:pPr>
      <w:spacing w:after="0" w:line="240" w:lineRule="auto"/>
    </w:pPr>
    <w:rPr>
      <w:rFonts w:ascii="Times New Roman" w:eastAsia="Times New Roman" w:hAnsi="Times New Roman" w:cs="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35F2"/>
    <w:rPr>
      <w:color w:val="0000FF"/>
      <w:u w:val="single"/>
    </w:rPr>
  </w:style>
  <w:style w:type="paragraph" w:styleId="Header">
    <w:name w:val="header"/>
    <w:basedOn w:val="Normal"/>
    <w:link w:val="HeaderChar"/>
    <w:rsid w:val="00DD35F2"/>
    <w:pPr>
      <w:tabs>
        <w:tab w:val="center" w:pos="4153"/>
        <w:tab w:val="right" w:pos="8306"/>
      </w:tabs>
    </w:pPr>
  </w:style>
  <w:style w:type="character" w:customStyle="1" w:styleId="HeaderChar">
    <w:name w:val="Header Char"/>
    <w:basedOn w:val="DefaultParagraphFont"/>
    <w:link w:val="Header"/>
    <w:rsid w:val="00DD35F2"/>
    <w:rPr>
      <w:rFonts w:ascii="Times New Roman" w:eastAsia="Times New Roman" w:hAnsi="Times New Roman" w:cs="Times New Roman"/>
      <w:sz w:val="20"/>
      <w:szCs w:val="20"/>
      <w:lang w:val="en-AU" w:eastAsia="en-AU"/>
    </w:rPr>
  </w:style>
  <w:style w:type="paragraph" w:styleId="Footer">
    <w:name w:val="footer"/>
    <w:basedOn w:val="Normal"/>
    <w:link w:val="FooterChar"/>
    <w:uiPriority w:val="99"/>
    <w:unhideWhenUsed/>
    <w:rsid w:val="00DD35F2"/>
    <w:pPr>
      <w:tabs>
        <w:tab w:val="center" w:pos="4513"/>
        <w:tab w:val="right" w:pos="9026"/>
      </w:tabs>
    </w:pPr>
  </w:style>
  <w:style w:type="character" w:customStyle="1" w:styleId="FooterChar">
    <w:name w:val="Footer Char"/>
    <w:basedOn w:val="DefaultParagraphFont"/>
    <w:link w:val="Footer"/>
    <w:uiPriority w:val="99"/>
    <w:rsid w:val="00DD35F2"/>
    <w:rPr>
      <w:rFonts w:ascii="Times New Roman" w:eastAsia="Times New Roman" w:hAnsi="Times New Roman" w:cs="Times New Roman"/>
      <w:sz w:val="20"/>
      <w:szCs w:val="20"/>
      <w:lang w:val="en-AU" w:eastAsia="en-AU"/>
    </w:rPr>
  </w:style>
  <w:style w:type="table" w:styleId="TableGrid">
    <w:name w:val="Table Grid"/>
    <w:basedOn w:val="TableNormal"/>
    <w:uiPriority w:val="39"/>
    <w:rsid w:val="00DD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8B7"/>
    <w:rPr>
      <w:rFonts w:ascii="Segoe UI" w:eastAsia="Times New Roman"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ompt.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uroexam.com/neuroexam/content.php?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NZMPA</dc:creator>
  <cp:keywords/>
  <dc:description/>
  <cp:lastModifiedBy>NZMPA</cp:lastModifiedBy>
  <cp:revision>3</cp:revision>
  <cp:lastPrinted>2018-09-05T00:41:00Z</cp:lastPrinted>
  <dcterms:created xsi:type="dcterms:W3CDTF">2018-09-05T00:04:00Z</dcterms:created>
  <dcterms:modified xsi:type="dcterms:W3CDTF">2018-09-05T00:42:00Z</dcterms:modified>
</cp:coreProperties>
</file>